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EXCEÇÕES DE HARDENING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47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Existem padrões mínimos de configuração segura (hardening) para servidores, estações, dispositivos móveis, equipamentos de rede e serviços, de forma proporcional ao risco e à capacidade técnica?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Documentar quando um requisito de configuração segura não puder ser aplicado e impedir que a exceção vire permanente sem revisão.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Registro de exceção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Hardening: reforço de configuração para reduzir a superfície de ataque.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49"/>
        <w:gridCol w:w="2249"/>
        <w:gridCol w:w="2249"/>
        <w:gridCol w:w="2249"/>
        <w:gridCol w:w="2249"/>
        <w:gridCol w:w="2249"/>
        <w:gridCol w:w="2249"/>
      </w:tblGrid>
      <w:tr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Ativo/sistema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Requisito não aplicado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Motivo/limitação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Risco/impacto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Controle compensatório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Aprovador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Revisar até</w:t>
            </w:r>
          </w:p>
        </w:tc>
      </w:tr>
      <w:tr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Regra prática: </w:t>
            </w:r>
            <w:r>
              <w:rPr>
                <w:rFonts w:ascii="Liberation Sans" w:hAnsi="Liberation Sans"/>
                <w:color w:val="475569"/>
                <w:sz w:val="16"/>
              </w:rPr>
              <w:t>Toda exceção deve ter motivo técnico/assistencial, responsável, medida compensatória quando possível e data de revisão.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CIS Benchmarks — referências de configuração segura, quando houver benchmark aplicável e compatível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