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ADIAMENTO OU EXCEÇÃO DE ATUALIZAÇÃO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48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operacionais, aplicativos, navegadores e componentes recebem atualizações e correções de segurança de forma controlada?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Controlar patches que não podem ser aplicados imediatamente, com prazo e mitigação explícitos.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Exceção/adiamento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CVE: identificador público padronizado de vulnerabilidade conhecida.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Patch/CVE/versão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Exposição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Controle compensatório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 limite/revisão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Situação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Não confundir: </w:t>
            </w:r>
            <w:r>
              <w:rPr>
                <w:rFonts w:ascii="Liberation Sans" w:hAnsi="Liberation Sans"/>
                <w:color w:val="475569"/>
                <w:sz w:val="16"/>
              </w:rPr>
              <w:t>“Fornecedor não liberou” ou “pode quebrar” precisa de evidência, acompanhamento e proteção compensatória proporcional; não deve significar adiamento indefinido.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CISA — Known Exploited Vulnerabilities Catalog (apoio à priorização, quando pertinente)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