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AVALIAÇÃO DE RISCO DE LEGADO OU EQUIPAMENTO MÉDICO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Worksheet editável — Questão 53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Equipamentos médicos e sistemas legados com limitações de atualização ou suporte possuem análise de risco e controles compensatórios definidos, como isolamento, segmentação, restrição de acesso ou medidas acordadas com fornecedores quando necessário?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Avaliar exposição e dependências de equipamentos/sistemas com limitações de atualização sem aprofundar na segurança interna da modalidade.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Análise do item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740"/>
      </w:tblGrid>
      <w:tr>
        <w:tc>
          <w:tcPr>
            <w:tcW w:type="dxa" w:w="1574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Hardening: reforço de configuração para reduzir a superfície de ataque.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7870"/>
        <w:gridCol w:w="7870"/>
      </w:tblGrid>
      <w:tr>
        <w:tc>
          <w:tcPr>
            <w:tcW w:type="dxa" w:w="7870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7870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Registro</w:t>
            </w:r>
          </w:p>
        </w:tc>
      </w:tr>
      <w:tr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Equipamento/sistema / função clínica</w:t>
            </w:r>
          </w:p>
        </w:tc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Fabricante/modelo/versão conhecida</w:t>
            </w:r>
          </w:p>
        </w:tc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Limitação de atualização/suporte</w:t>
            </w:r>
          </w:p>
        </w:tc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Conectividade: segmento / destinos necessários</w:t>
            </w:r>
          </w:p>
        </w:tc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Dados/processos envolvidos</w:t>
            </w:r>
          </w:p>
        </w:tc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Acesso local/remoto/fornecedor</w:t>
            </w:r>
          </w:p>
        </w:tc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Impacto de indisponibilidade</w:t>
            </w:r>
          </w:p>
        </w:tc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Exposição e ameaças relevantes</w:t>
            </w:r>
          </w:p>
        </w:tc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Controles atuais</w:t>
            </w:r>
          </w:p>
        </w:tc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Risco residual / responsável pela decisão</w:t>
            </w:r>
          </w:p>
        </w:tc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FDE68A"/>
          <w:left w:val="single" w:sz="5" w:color="FDE68A"/>
          <w:bottom w:val="single" w:sz="5" w:color="FDE68A"/>
          <w:right w:val="single" w:sz="5" w:color="FDE68A"/>
          <w:insideH w:val="single" w:sz="5" w:color="FDE68A"/>
          <w:insideV w:val="single" w:sz="5" w:color="FDE68A"/>
        </w:tblBorders>
      </w:tblPr>
      <w:tblGrid>
        <w:gridCol w:w="15740"/>
      </w:tblGrid>
      <w:tr>
        <w:tc>
          <w:tcPr>
            <w:tcW w:type="dxa" w:w="15740"/>
            <w:shd w:fill="FFFBEB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Escopo: </w:t>
            </w:r>
            <w:r>
              <w:rPr>
                <w:rFonts w:ascii="Liberation Sans" w:hAnsi="Liberation Sans"/>
                <w:color w:val="475569"/>
                <w:sz w:val="16"/>
              </w:rPr>
              <w:t>Avaliar rede, acesso, suporte, dependências e compensações. Não alterar software interno da modalidade nem aplicar hardening sem orientação/compatibilidade do fabricante.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NIST SP 1300 — NIST CSF 2.0: Guia Rápido para Pequenas e Médias Organizações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