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i w:val="0"/>
          <w:color w:val="17365D"/>
          <w:sz w:val="16"/>
        </w:rPr>
        <w:t>INSTRUMENTO DE AUTOAVALIAÇÃO DE CONTROLES DE SEGURANÇA CIBERNÉTICA</w:t>
      </w:r>
    </w:p>
    <w:p>
      <w:pPr>
        <w:jc w:val="center"/>
      </w:pPr>
      <w:r>
        <w:rPr>
          <w:rFonts w:ascii="Arial" w:hAnsi="Arial"/>
          <w:b/>
          <w:i w:val="0"/>
          <w:color w:val="17365D"/>
          <w:sz w:val="30"/>
        </w:rPr>
        <w:t>REGISTRO DE TESTE DE TRILHA DE AUDITORIA</w:t>
      </w:r>
    </w:p>
    <w:p>
      <w:pPr>
        <w:jc w:val="center"/>
      </w:pPr>
      <w:r>
        <w:rPr>
          <w:rFonts w:ascii="Arial" w:hAnsi="Arial"/>
          <w:b w:val="0"/>
          <w:i w:val="0"/>
          <w:color w:val="1F2937"/>
          <w:sz w:val="16"/>
        </w:rPr>
        <w:t>Registro de validação — Questão 59 | D06 — Detecção e monitoramento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D9EAF7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Questão: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As ações relevantes de usuários e administradores, incluindo acessos e alterações, são registradas quando tecnicamente possível?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538"/>
      </w:tblGrid>
      <w:tr>
        <w:tc>
          <w:tcPr>
            <w:tcW w:type="dxa" w:w="15538"/>
            <w:shd w:fill="F3F6F9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Finalidade: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Testar na prática se uma ação conhecida pode ser localizada e atribuída corretamente.</w:t>
            </w:r>
          </w:p>
          <w:p>
            <w:r>
              <w:rPr>
                <w:rFonts w:ascii="Arial" w:hAnsi="Arial"/>
                <w:b/>
                <w:i w:val="0"/>
                <w:color w:val="17365D"/>
                <w:sz w:val="18"/>
              </w:rPr>
              <w:t xml:space="preserve">Como usar: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Escolha ações autorizadas de teste e registre a evidência obtida.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20"/>
        <w:gridCol w:w="2220"/>
        <w:gridCol w:w="2220"/>
        <w:gridCol w:w="2220"/>
        <w:gridCol w:w="2220"/>
        <w:gridCol w:w="2220"/>
        <w:gridCol w:w="2220"/>
      </w:tblGrid>
      <w:tr>
        <w:trPr>
          <w:tblHeader w:val="true"/>
        </w:trPr>
        <w:tc>
          <w:tcPr>
            <w:tcW w:type="dxa" w:w="108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Data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Sistema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Usuário teste</w:t>
            </w:r>
          </w:p>
        </w:tc>
        <w:tc>
          <w:tcPr>
            <w:tcW w:type="dxa" w:w="2016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Ação executada</w:t>
            </w:r>
          </w:p>
        </w:tc>
        <w:tc>
          <w:tcPr>
            <w:tcW w:type="dxa" w:w="1440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Evento localizado?</w:t>
            </w:r>
          </w:p>
        </w:tc>
        <w:tc>
          <w:tcPr>
            <w:tcW w:type="dxa" w:w="2448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Campos presentes</w:t>
            </w:r>
          </w:p>
        </w:tc>
        <w:tc>
          <w:tcPr>
            <w:tcW w:type="dxa" w:w="2232"/>
            <w:shd w:fill="17365D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Conclusão/ajuste</w:t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  <w:shd w:fill="FAFCFD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  <w:tr>
        <w:tc>
          <w:tcPr>
            <w:tcW w:type="dxa" w:w="108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016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1440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448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  <w:tc>
          <w:tcPr>
            <w:tcW w:type="dxa" w:w="2232"/>
            <w:tcBorders>
              <w:top w:val="single" w:sz="6" w:color="B7C9D6"/>
              <w:left w:val="single" w:sz="6" w:color="B7C9D6"/>
              <w:bottom w:val="single" w:sz="6" w:color="B7C9D6"/>
              <w:right w:val="single" w:sz="6" w:color="B7C9D6"/>
              <w:insideH w:val="single" w:sz="6" w:color="B7C9D6"/>
              <w:insideV w:val="single" w:sz="6" w:color="B7C9D6"/>
            </w:tcBorders>
            <w:tcMar>
              <w:top w:w="60" w:type="dxa"/>
              <w:start w:w="60" w:type="dxa"/>
              <w:bottom w:w="60" w:type="dxa"/>
              <w:end w:w="60" w:type="dxa"/>
            </w:tcMar>
            <w:vAlign w:val="center"/>
          </w:tcPr>
          <w:p>
            <w:r>
              <w:rPr>
                <w:rFonts w:ascii="Arial" w:hAnsi="Arial"/>
                <w:b w:val="0"/>
                <w:i w:val="0"/>
                <w:color w:val="1F2937"/>
                <w:sz w:val="14"/>
              </w:rPr>
            </w:r>
          </w:p>
        </w:tc>
      </w:tr>
    </w:tbl>
    <w:p>
      <w:pPr>
        <w:spacing w:before="80" w:after="60"/>
      </w:pPr>
      <w:r>
        <w:rPr>
          <w:rFonts w:ascii="Arial" w:hAnsi="Arial"/>
          <w:b/>
          <w:i w:val="0"/>
          <w:color w:val="17365D"/>
          <w:sz w:val="20"/>
        </w:rPr>
        <w:t>Referências de apoio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NIST CSF 2.0: </w:t>
      </w:r>
      <w:r>
        <w:rPr>
          <w:rFonts w:ascii="Arial" w:hAnsi="Arial"/>
          <w:b w:val="0"/>
          <w:i w:val="0"/>
          <w:color w:val="1F2937"/>
          <w:sz w:val="16"/>
        </w:rPr>
        <w:t>PR.PS-04, DE.CM-03</w:t>
      </w:r>
    </w:p>
    <w:p>
      <w:pPr>
        <w:spacing w:after="40"/>
      </w:pPr>
      <w:r>
        <w:rPr>
          <w:rFonts w:ascii="Arial" w:hAnsi="Arial"/>
          <w:b/>
          <w:i w:val="0"/>
          <w:color w:val="17365D"/>
          <w:sz w:val="16"/>
        </w:rPr>
        <w:t xml:space="preserve">Observação: </w:t>
      </w:r>
      <w:r>
        <w:rPr>
          <w:rFonts w:ascii="Arial" w:hAnsi="Arial"/>
          <w:b w:val="0"/>
          <w:i w:val="0"/>
          <w:color w:val="1F2937"/>
          <w:sz w:val="16"/>
        </w:rPr>
        <w:t>material de apoio próprio, adaptável à realidade da clínica. Não representa certificação nem modelo oficial/homologado.</w:t>
      </w:r>
    </w:p>
    <w:sectPr w:rsidR="00FC693F" w:rsidRPr="0006063C" w:rsidSect="00034616">
      <w:footerReference w:type="default" r:id="rId9"/>
      <w:pgSz w:w="16834" w:h="11909" w:orient="landscape"/>
      <w:pgMar w:top="648" w:right="648" w:bottom="720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B7280"/>
        <w:sz w:val="14"/>
      </w:rPr>
      <w:t>Material de apoio do instrumento — adaptar ao ambiente, contratos, sistemas e responsabilidades da organização.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