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53F69"/>
          <w:sz w:val="18"/>
        </w:rPr>
        <w:t>INSTRUMENTO DE AUTOAVALIAÇÃO DE CONTROLES DE SEGURANÇA CIBERNÉTICA</w:t>
      </w:r>
    </w:p>
    <w:p>
      <w:pPr>
        <w:jc w:val="center"/>
      </w:pPr>
      <w:r>
        <w:rPr>
          <w:b/>
          <w:color w:val="14213D"/>
          <w:sz w:val="30"/>
        </w:rPr>
        <w:t>CHECKLIST DE PRONTIDÃO DO PLANO DE RESPOSTA</w:t>
      </w:r>
    </w:p>
    <w:p>
      <w:pPr>
        <w:jc w:val="center"/>
      </w:pPr>
      <w:r>
        <w:rPr>
          <w:color w:val="475569"/>
          <w:sz w:val="18"/>
        </w:rPr>
        <w:t>Checklist operacional — Questão 68 | D07 — Resposta a incidentes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710"/>
      </w:tblGrid>
      <w:tr>
        <w:tc>
          <w:tcPr>
            <w:tcW w:type="dxa" w:w="10710"/>
            <w:shd w:fill="EEF4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Questão: Existe plano ou procedimento documentado para resposta a incidentes de segurança cibernética e privacidade?</w:t>
            </w:r>
          </w:p>
        </w:tc>
      </w:tr>
    </w:tbl>
    <w:p>
      <w:pPr>
        <w:spacing w:after="0"/>
      </w:pPr>
    </w:p>
    <w:p>
      <w:pPr>
        <w:spacing w:after="80"/>
      </w:pPr>
      <w:r>
        <w:rPr>
          <w:b/>
        </w:rPr>
        <w:t xml:space="preserve">Uso do material: </w:t>
      </w:r>
      <w:r>
        <w:rPr>
          <w:sz w:val="17"/>
        </w:rPr>
        <w:t>apoio prático para implementar, verificar ou evidenciar o controle. O preenchimento do documento, isoladamente, não comprova nível 3 e não substitui análise técnica, jurídica ou regulatória quando necessária.</w:t>
      </w:r>
    </w:p>
    <w:p>
      <w:pPr>
        <w:spacing w:after="30"/>
        <w:ind w:left="85"/>
      </w:pPr>
      <w:r>
        <w:rPr>
          <w:sz w:val="17"/>
        </w:rPr>
        <w:t>☐ Plano/procedimento possui responsável, versão e aprovação.</w:t>
      </w:r>
    </w:p>
    <w:p>
      <w:pPr>
        <w:spacing w:after="30"/>
        <w:ind w:left="85"/>
      </w:pPr>
      <w:r>
        <w:rPr>
          <w:sz w:val="17"/>
        </w:rPr>
        <w:t>☐ Escopo inclui sistemas críticos e dependências relevantes.</w:t>
      </w:r>
    </w:p>
    <w:p>
      <w:pPr>
        <w:spacing w:after="30"/>
        <w:ind w:left="85"/>
      </w:pPr>
      <w:r>
        <w:rPr>
          <w:sz w:val="17"/>
        </w:rPr>
        <w:t>☐ Papéis, substitutos e contatos estão definidos.</w:t>
      </w:r>
    </w:p>
    <w:p>
      <w:pPr>
        <w:spacing w:after="30"/>
        <w:ind w:left="85"/>
      </w:pPr>
      <w:r>
        <w:rPr>
          <w:sz w:val="17"/>
        </w:rPr>
        <w:t>☐ Existe forma simples de registrar evento/incidente e decisões.</w:t>
      </w:r>
    </w:p>
    <w:p>
      <w:pPr>
        <w:spacing w:after="30"/>
        <w:ind w:left="85"/>
      </w:pPr>
      <w:r>
        <w:rPr>
          <w:sz w:val="17"/>
        </w:rPr>
        <w:t>☐ Critérios de severidade e escalonamento estão definidos.</w:t>
      </w:r>
    </w:p>
    <w:p>
      <w:pPr>
        <w:spacing w:after="30"/>
        <w:ind w:left="85"/>
      </w:pPr>
      <w:r>
        <w:rPr>
          <w:sz w:val="17"/>
        </w:rPr>
        <w:t>☐ Há ações de contenção para cenários principais.</w:t>
      </w:r>
    </w:p>
    <w:p>
      <w:pPr>
        <w:spacing w:after="30"/>
        <w:ind w:left="85"/>
      </w:pPr>
      <w:r>
        <w:rPr>
          <w:sz w:val="17"/>
        </w:rPr>
        <w:t>☐ Orientações de preservação de evidências estão documentadas.</w:t>
      </w:r>
    </w:p>
    <w:p>
      <w:pPr>
        <w:spacing w:after="30"/>
        <w:ind w:left="85"/>
      </w:pPr>
      <w:r>
        <w:rPr>
          <w:sz w:val="17"/>
        </w:rPr>
        <w:t>☐ Comunicação interna e externa possui responsáveis.</w:t>
      </w:r>
    </w:p>
    <w:p>
      <w:pPr>
        <w:spacing w:after="30"/>
        <w:ind w:left="85"/>
      </w:pPr>
      <w:r>
        <w:rPr>
          <w:sz w:val="17"/>
        </w:rPr>
        <w:t>☐ Fornecedores críticos estão contemplados.</w:t>
      </w:r>
    </w:p>
    <w:p>
      <w:pPr>
        <w:spacing w:after="30"/>
        <w:ind w:left="85"/>
      </w:pPr>
      <w:r>
        <w:rPr>
          <w:sz w:val="17"/>
        </w:rPr>
        <w:t>☐ Recuperação está integrada com continuidade/backup.</w:t>
      </w:r>
    </w:p>
    <w:p>
      <w:pPr>
        <w:spacing w:after="30"/>
        <w:ind w:left="85"/>
      </w:pPr>
      <w:r>
        <w:rPr>
          <w:sz w:val="17"/>
        </w:rPr>
        <w:t>☐ Plano é acessível mesmo durante indisponibilidade dos sistemas.</w:t>
      </w:r>
    </w:p>
    <w:p>
      <w:pPr>
        <w:spacing w:after="30"/>
        <w:ind w:left="85"/>
      </w:pPr>
      <w:r>
        <w:rPr>
          <w:sz w:val="17"/>
        </w:rPr>
        <w:t>☐ Há periodicidade de revisão e registro de testes/simulações.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355"/>
        <w:gridCol w:w="5355"/>
      </w:tblGrid>
      <w:tr>
        <w:trPr>
          <w:tblHeader w:val="true"/>
        </w:trPr>
        <w:tc>
          <w:tcPr>
            <w:tcW w:type="dxa" w:w="3969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Resultado</w:t>
            </w:r>
          </w:p>
        </w:tc>
        <w:tc>
          <w:tcPr>
            <w:tcW w:type="dxa" w:w="2835"/>
            <w:shd w:fill="DCE6F1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6"/>
              </w:rPr>
              <w:t>Quantidade</w:t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Conforme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Parcial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conforme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  <w:tr>
        <w:tc>
          <w:tcPr>
            <w:tcW w:type="dxa" w:w="3969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  <w:t>Não verificado</w:t>
            </w:r>
          </w:p>
        </w:tc>
        <w:tc>
          <w:tcPr>
            <w:tcW w:type="dxa" w:w="2835"/>
            <w:vAlign w:val="center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6"/>
              </w:rPr>
            </w:r>
          </w:p>
        </w:tc>
      </w:tr>
    </w:tbl>
    <w:p>
      <w:pPr>
        <w:spacing w:after="0"/>
      </w:pPr>
    </w:p>
    <w:p>
      <w:pPr>
        <w:spacing w:before="100" w:after="60"/>
      </w:pPr>
      <w:r>
        <w:rPr>
          <w:b/>
          <w:color w:val="1E40AF"/>
          <w:sz w:val="20"/>
        </w:rPr>
        <w:t>Lacunas prioritárias e evidências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after="20"/>
      </w:pPr>
      <w:r>
        <w:rPr>
          <w:color w:val="94A3B8"/>
          <w:sz w:val="16"/>
        </w:rPr>
        <w:t>________________________________________________________________________________________</w:t>
      </w:r>
    </w:p>
    <w:p>
      <w:pPr>
        <w:spacing w:before="100" w:after="60"/>
      </w:pPr>
      <w:r>
        <w:rPr>
          <w:b/>
          <w:color w:val="1E40AF"/>
          <w:sz w:val="20"/>
        </w:rPr>
        <w:t>Referências de apoio</w:t>
      </w:r>
    </w:p>
    <w:p>
      <w:pPr>
        <w:spacing w:after="20"/>
      </w:pPr>
      <w:r>
        <w:rPr>
          <w:color w:val="475569"/>
          <w:sz w:val="15"/>
        </w:rPr>
        <w:t>NIST CSF 2.0</w:t>
      </w:r>
    </w:p>
    <w:p>
      <w:pPr>
        <w:spacing w:after="20"/>
      </w:pPr>
      <w:r>
        <w:rPr>
          <w:color w:val="475569"/>
          <w:sz w:val="15"/>
        </w:rPr>
        <w:t>NIST SP 800-61 Rev. 3 (2025)</w:t>
      </w:r>
    </w:p>
    <w:p>
      <w:pPr>
        <w:spacing w:before="60" w:after="0"/>
      </w:pPr>
      <w:r>
        <w:rPr>
          <w:i/>
          <w:color w:val="64748B"/>
          <w:sz w:val="15"/>
        </w:rPr>
        <w:t>Observação: material de apoio próprio, adaptável à realidade da clínica. Não representa certificação, parecer jurídico ou modelo oficial/homologado.</w:t>
      </w:r>
    </w:p>
    <w:sectPr w:rsidR="00FC693F" w:rsidRPr="0006063C" w:rsidSect="00034616">
      <w:footerReference w:type="default" r:id="rId9"/>
      <w:pgSz w:w="12240" w:h="15840"/>
      <w:pgMar w:top="709" w:right="765" w:bottom="737" w:left="7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4"/>
      </w:rPr>
      <w:t>Material de apoio do instrumento — v0.5 / draft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