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PROCEDIMENTO DE PRESERVAÇÃO DE EVIDÊNCIAS DIGITAIS</w:t>
      </w:r>
    </w:p>
    <w:p>
      <w:pPr>
        <w:jc w:val="center"/>
      </w:pPr>
      <w:r>
        <w:rPr>
          <w:color w:val="475569"/>
          <w:sz w:val="18"/>
        </w:rPr>
        <w:t>Procedimento operacional — Questão 73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orientações para preservar logs, arquivos, registros e outras evidências necessárias à investigação, mantendo sua integridade e rastreabilidade?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Princípios</w:t>
      </w:r>
    </w:p>
    <w:p>
      <w:pPr>
        <w:spacing w:after="30"/>
        <w:ind w:left="85"/>
      </w:pPr>
      <w:r>
        <w:rPr>
          <w:sz w:val="17"/>
        </w:rPr>
        <w:t>• Preservar antes de alterar quando tecnicamente possível.</w:t>
      </w:r>
    </w:p>
    <w:p>
      <w:pPr>
        <w:spacing w:after="30"/>
        <w:ind w:left="85"/>
      </w:pPr>
      <w:r>
        <w:rPr>
          <w:sz w:val="17"/>
        </w:rPr>
        <w:t>• Coletar somente o necessário e limitar acesso às evidências.</w:t>
      </w:r>
    </w:p>
    <w:p>
      <w:pPr>
        <w:spacing w:after="30"/>
        <w:ind w:left="85"/>
      </w:pPr>
      <w:r>
        <w:rPr>
          <w:sz w:val="17"/>
        </w:rPr>
        <w:t>• Registrar quem coletou, quando, de onde e o que foi feito.</w:t>
      </w:r>
    </w:p>
    <w:p>
      <w:pPr>
        <w:spacing w:after="30"/>
        <w:ind w:left="85"/>
      </w:pPr>
      <w:r>
        <w:rPr>
          <w:sz w:val="17"/>
        </w:rPr>
        <w:t>• Manter cópia íntegra e armazenamento protegido.</w:t>
      </w:r>
    </w:p>
    <w:p>
      <w:pPr>
        <w:spacing w:after="30"/>
        <w:ind w:left="85"/>
      </w:pPr>
      <w:r>
        <w:rPr>
          <w:sz w:val="17"/>
        </w:rPr>
        <w:t>• Usar ferramentas e procedimentos compatíveis com a capacidade da organização; acionar especialista quando a investigação exigir perícia.</w:t>
      </w:r>
    </w:p>
    <w:p>
      <w:pPr>
        <w:spacing w:before="100" w:after="60"/>
      </w:pPr>
      <w:r>
        <w:rPr>
          <w:b/>
          <w:color w:val="1E40AF"/>
          <w:sz w:val="20"/>
        </w:rPr>
        <w:t>Fluxo mínimo</w:t>
      </w:r>
    </w:p>
    <w:p>
      <w:pPr>
        <w:spacing w:after="30"/>
        <w:ind w:left="85"/>
      </w:pPr>
      <w:r>
        <w:rPr>
          <w:sz w:val="17"/>
        </w:rPr>
        <w:t>☐ Identificar fontes relevantes: firewall/VPN, servidor, endpoint, AD/IdP, e-mail, RIS/PACS, aplicação, backup e fornecedor.</w:t>
      </w:r>
    </w:p>
    <w:p>
      <w:pPr>
        <w:spacing w:after="30"/>
        <w:ind w:left="85"/>
      </w:pPr>
      <w:r>
        <w:rPr>
          <w:sz w:val="17"/>
        </w:rPr>
        <w:t>☐ Registrar data/hora e responsável antes da coleta.</w:t>
      </w:r>
    </w:p>
    <w:p>
      <w:pPr>
        <w:spacing w:after="30"/>
        <w:ind w:left="85"/>
      </w:pPr>
      <w:r>
        <w:rPr>
          <w:sz w:val="17"/>
        </w:rPr>
        <w:t>☐ Exportar/copiar de forma que minimize alterações no original.</w:t>
      </w:r>
    </w:p>
    <w:p>
      <w:pPr>
        <w:spacing w:after="30"/>
        <w:ind w:left="85"/>
      </w:pPr>
      <w:r>
        <w:rPr>
          <w:sz w:val="17"/>
        </w:rPr>
        <w:t>☐ Quando tecnicamente disponível, registrar hash/checksum da cópia.</w:t>
      </w:r>
    </w:p>
    <w:p>
      <w:pPr>
        <w:spacing w:after="30"/>
        <w:ind w:left="85"/>
      </w:pPr>
      <w:r>
        <w:rPr>
          <w:sz w:val="17"/>
        </w:rPr>
        <w:t>☐ Nomear arquivos de forma padronizada e armazenar em local restrito.</w:t>
      </w:r>
    </w:p>
    <w:p>
      <w:pPr>
        <w:spacing w:after="30"/>
        <w:ind w:left="85"/>
      </w:pPr>
      <w:r>
        <w:rPr>
          <w:sz w:val="17"/>
        </w:rPr>
        <w:t>☐ Registrar cada transferência/acesso relevante à evidência.</w:t>
      </w:r>
    </w:p>
    <w:p>
      <w:pPr>
        <w:spacing w:after="30"/>
        <w:ind w:left="85"/>
      </w:pPr>
      <w:r>
        <w:rPr>
          <w:sz w:val="17"/>
        </w:rPr>
        <w:t>☐ Definir retenção conforme investigação, obrigação e orientação responsável.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IdP: provedor de identidade/autenticação para outros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Hash: resumo criptográfico usado para verificar integridade de arquivo/evidência.</w:t>
            </w:r>
          </w:p>
        </w:tc>
      </w:tr>
    </w:tbl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