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3F69"/>
          <w:sz w:val="18"/>
        </w:rPr>
        <w:t>INSTRUMENTO DE AUTOAVALIAÇÃO DE CONTROLES DE SEGURANÇA CIBERNÉTICA</w:t>
      </w:r>
    </w:p>
    <w:p>
      <w:pPr>
        <w:jc w:val="center"/>
      </w:pPr>
      <w:r>
        <w:rPr>
          <w:b/>
          <w:color w:val="14213D"/>
          <w:sz w:val="30"/>
        </w:rPr>
        <w:t>MATRIZ DE COMUNICAÇÃO INTERNA E ESCALONAMENTO</w:t>
      </w:r>
    </w:p>
    <w:p>
      <w:pPr>
        <w:jc w:val="center"/>
      </w:pPr>
      <w:r>
        <w:rPr>
          <w:color w:val="475569"/>
          <w:sz w:val="18"/>
        </w:rPr>
        <w:t>Matriz de governança — Questão 74 | D07 — Resposta a incidentes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310"/>
      </w:tblGrid>
      <w:tr>
        <w:tc>
          <w:tcPr>
            <w:tcW w:type="dxa" w:w="14310"/>
            <w:shd w:fill="EEF4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Questão: Existe plano de comunicação interna com direção, áreas assistenciais, TI, jurídico, encarregado quando aplicável e demais envolvidos?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b/>
        </w:rPr>
        <w:t xml:space="preserve">Uso do material: </w:t>
      </w:r>
      <w:r>
        <w:rPr>
          <w:sz w:val="17"/>
        </w:rPr>
        <w:t>apoio prático para implementar, verificar ou evidenciar o controle. O preenchimento do documento, isoladamente, não comprova nível 3 e não substitui análise técnica, jurídica ou regulatória quando necessária.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89"/>
        <w:gridCol w:w="1789"/>
        <w:gridCol w:w="1789"/>
        <w:gridCol w:w="1789"/>
        <w:gridCol w:w="1789"/>
        <w:gridCol w:w="1789"/>
        <w:gridCol w:w="1789"/>
        <w:gridCol w:w="1789"/>
      </w:tblGrid>
      <w:tr>
        <w:trPr>
          <w:tblHeader w:val="true"/>
        </w:trPr>
        <w:tc>
          <w:tcPr>
            <w:tcW w:type="dxa" w:w="2268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Situação/Severidade</w:t>
            </w:r>
          </w:p>
        </w:tc>
        <w:tc>
          <w:tcPr>
            <w:tcW w:type="dxa" w:w="1984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Direção</w:t>
            </w:r>
          </w:p>
        </w:tc>
        <w:tc>
          <w:tcPr>
            <w:tcW w:type="dxa" w:w="1984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TI</w:t>
            </w:r>
          </w:p>
        </w:tc>
        <w:tc>
          <w:tcPr>
            <w:tcW w:type="dxa" w:w="3118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Área assistencial/setor</w:t>
            </w:r>
          </w:p>
        </w:tc>
        <w:tc>
          <w:tcPr>
            <w:tcW w:type="dxa" w:w="2835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Privacidade/Encarregado</w:t>
            </w:r>
          </w:p>
        </w:tc>
        <w:tc>
          <w:tcPr>
            <w:tcW w:type="dxa" w:w="2268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Jurídico</w:t>
            </w:r>
          </w:p>
        </w:tc>
        <w:tc>
          <w:tcPr>
            <w:tcW w:type="dxa" w:w="2551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Comunicação/RH</w:t>
            </w:r>
          </w:p>
        </w:tc>
        <w:tc>
          <w:tcPr>
            <w:tcW w:type="dxa" w:w="2835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Frequência/atualização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S1 / crítica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Imediata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Imediata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Imediata se afetada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Se dados pessoais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Conforme risco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Conforme necessidade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Definida pelo coordenador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S2 / alta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S3 / média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Incidente com dados pessoais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Indisponibilidade assistencial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</w:tbl>
    <w:p>
      <w:pPr>
        <w:spacing w:after="0"/>
      </w:pPr>
    </w:p>
    <w:p>
      <w:pPr>
        <w:spacing w:before="100" w:after="60"/>
      </w:pPr>
      <w:r>
        <w:rPr>
          <w:b/>
          <w:color w:val="1E40AF"/>
          <w:sz w:val="20"/>
        </w:rPr>
        <w:t>Princípios</w:t>
      </w:r>
    </w:p>
    <w:p>
      <w:pPr>
        <w:spacing w:after="30"/>
        <w:ind w:left="85"/>
      </w:pPr>
      <w:r>
        <w:rPr>
          <w:sz w:val="17"/>
        </w:rPr>
        <w:t>• Compartilhar somente o necessário para cada público.</w:t>
      </w:r>
    </w:p>
    <w:p>
      <w:pPr>
        <w:spacing w:after="30"/>
        <w:ind w:left="85"/>
      </w:pPr>
      <w:r>
        <w:rPr>
          <w:sz w:val="17"/>
        </w:rPr>
        <w:t>• Evitar especulação e linguagem definitiva antes de validar fatos.</w:t>
      </w:r>
    </w:p>
    <w:p>
      <w:pPr>
        <w:spacing w:after="30"/>
        <w:ind w:left="85"/>
      </w:pPr>
      <w:r>
        <w:rPr>
          <w:sz w:val="17"/>
        </w:rPr>
        <w:t>• Diferenciar informação operacional, executiva, assistencial e jurídica.</w:t>
      </w:r>
    </w:p>
    <w:p>
      <w:pPr>
        <w:spacing w:after="30"/>
        <w:ind w:left="85"/>
      </w:pPr>
      <w:r>
        <w:rPr>
          <w:sz w:val="17"/>
        </w:rPr>
        <w:t>• Registrar decisões e mensagens relevantes.</w:t>
      </w:r>
    </w:p>
    <w:p>
      <w:pPr>
        <w:spacing w:before="100" w:after="60"/>
      </w:pPr>
      <w:r>
        <w:rPr>
          <w:b/>
          <w:color w:val="1E40AF"/>
          <w:sz w:val="20"/>
        </w:rPr>
        <w:t>Referências de apoio</w:t>
      </w:r>
    </w:p>
    <w:p>
      <w:pPr>
        <w:spacing w:after="20"/>
      </w:pPr>
      <w:r>
        <w:rPr>
          <w:color w:val="475569"/>
          <w:sz w:val="15"/>
        </w:rPr>
        <w:t>NIST CSF 2.0</w:t>
      </w:r>
    </w:p>
    <w:p>
      <w:pPr>
        <w:spacing w:after="20"/>
      </w:pPr>
      <w:r>
        <w:rPr>
          <w:color w:val="475569"/>
          <w:sz w:val="15"/>
        </w:rPr>
        <w:t>NIST SP 800-61 Rev. 3 (2025)</w:t>
      </w:r>
    </w:p>
    <w:p>
      <w:pPr>
        <w:spacing w:before="60" w:after="0"/>
      </w:pPr>
      <w:r>
        <w:rPr>
          <w:i/>
          <w:color w:val="64748B"/>
          <w:sz w:val="15"/>
        </w:rPr>
        <w:t>Observação: material de apoio próprio, adaptável à realidade da clínica. Não representa certificação, parecer jurídico ou modelo oficial/homologado.</w:t>
      </w:r>
    </w:p>
    <w:sectPr w:rsidR="00FC693F" w:rsidRPr="0006063C" w:rsidSect="00034616">
      <w:footerReference w:type="default" r:id="rId9"/>
      <w:pgSz w:w="15840" w:h="12240" w:orient="landscape"/>
      <w:pgMar w:top="709" w:right="765" w:bottom="737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4"/>
      </w:rPr>
      <w:t>Material de apoio do instrumento — v0.5 /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