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REGISTRO DE DECISÕES E COMUNICAÇÕES INTERNAS</w:t>
      </w:r>
    </w:p>
    <w:p>
      <w:pPr>
        <w:jc w:val="center"/>
      </w:pPr>
      <w:r>
        <w:rPr>
          <w:color w:val="475569"/>
          <w:sz w:val="18"/>
        </w:rPr>
        <w:t>Registro cronológico — Questão 74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 plano de comunicação interna com direção, áreas assistenciais, TI, jurídico, encarregado quando aplicável e demais envolvidos?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9"/>
        <w:gridCol w:w="1789"/>
        <w:gridCol w:w="1789"/>
        <w:gridCol w:w="1789"/>
        <w:gridCol w:w="1789"/>
        <w:gridCol w:w="1789"/>
        <w:gridCol w:w="1789"/>
        <w:gridCol w:w="1789"/>
      </w:tblGrid>
      <w:tr>
        <w:trPr>
          <w:tblHeader w:val="true"/>
        </w:trPr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Data/hora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Público</w:t>
            </w:r>
          </w:p>
        </w:tc>
        <w:tc>
          <w:tcPr>
            <w:tcW w:type="dxa" w:w="45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Mensagem/decisão resumida</w:t>
            </w:r>
          </w:p>
        </w:tc>
        <w:tc>
          <w:tcPr>
            <w:tcW w:type="dxa" w:w="198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Canal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Responsável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Aprovador quando necessário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Próxima atualização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Evidência/link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