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CRONOLÓGICO DE DECISÕES E COMUNICAÇÕES EXTERNAS</w:t>
      </w:r>
    </w:p>
    <w:p>
      <w:pPr>
        <w:jc w:val="center"/>
      </w:pPr>
      <w:r>
        <w:rPr>
          <w:color w:val="475569"/>
          <w:sz w:val="18"/>
        </w:rPr>
        <w:t>Registro de rastreabilidade — Questão 75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critérios e procedimentos para comunicações externas durante incidentes, incluindo a avaliação e a comunicação à ANPD e aos titulares quando exigida, além de parceiros ou autoridades aplicáveis?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Marco/decisão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Público/entidade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Aprovador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Prazo aplicável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Protocolo/evidência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Observação/justificativa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Marcos recomendados</w:t>
      </w:r>
    </w:p>
    <w:p>
      <w:pPr>
        <w:spacing w:after="30"/>
        <w:ind w:left="85"/>
      </w:pPr>
      <w:r>
        <w:rPr>
          <w:sz w:val="17"/>
        </w:rPr>
        <w:t>• Conhecimento do incidente; confirmação; avaliação de risco/dano; decisão de comunicar ou não; comunicação preliminar/completa; comunicação aos titulares; complementação; encerramento.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