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CHECKLIST DE EXERCÍCIO E VALIDAÇÃO COM FORNECEDOR CRÍTICO</w:t>
      </w:r>
    </w:p>
    <w:p>
      <w:pPr>
        <w:jc w:val="center"/>
      </w:pPr>
      <w:r>
        <w:rPr>
          <w:color w:val="475569"/>
          <w:sz w:val="18"/>
        </w:rPr>
        <w:t>Checklist de teste — Questão 76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Fornecedores e prestadores essenciais participam dos procedimentos de resposta quando o incidente envolve seus serviços ou acessos?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SLA: Acordo de Nível de Serviço, como disponibilidade, suporte e prazos de atendimento.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Fornecedor: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Serviço: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 interno: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Participantes: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spacing w:after="30"/>
        <w:ind w:left="85"/>
      </w:pPr>
      <w:r>
        <w:rPr>
          <w:sz w:val="17"/>
        </w:rPr>
        <w:t>☐ Contato de emergência funcionou.</w:t>
      </w:r>
    </w:p>
    <w:p>
      <w:pPr>
        <w:spacing w:after="30"/>
        <w:ind w:left="85"/>
      </w:pPr>
      <w:r>
        <w:rPr>
          <w:sz w:val="17"/>
        </w:rPr>
        <w:t>☐ Fornecedor reconheceu o cenário e abriu chamado corretamente.</w:t>
      </w:r>
    </w:p>
    <w:p>
      <w:pPr>
        <w:spacing w:after="30"/>
        <w:ind w:left="85"/>
      </w:pPr>
      <w:r>
        <w:rPr>
          <w:sz w:val="17"/>
        </w:rPr>
        <w:t>☐ SLA e prioridade foram aplicados como esperado.</w:t>
      </w:r>
    </w:p>
    <w:p>
      <w:pPr>
        <w:spacing w:after="30"/>
        <w:ind w:left="85"/>
      </w:pPr>
      <w:r>
        <w:rPr>
          <w:sz w:val="17"/>
        </w:rPr>
        <w:t>☐ Responsabilidades entre clínica e fornecedor ficaram claras.</w:t>
      </w:r>
    </w:p>
    <w:p>
      <w:pPr>
        <w:spacing w:after="30"/>
        <w:ind w:left="85"/>
      </w:pPr>
      <w:r>
        <w:rPr>
          <w:sz w:val="17"/>
        </w:rPr>
        <w:t>☐ Canal para compartilhamento de evidências é adequado.</w:t>
      </w:r>
    </w:p>
    <w:p>
      <w:pPr>
        <w:spacing w:after="30"/>
        <w:ind w:left="85"/>
      </w:pPr>
      <w:r>
        <w:rPr>
          <w:sz w:val="17"/>
        </w:rPr>
        <w:t>☐ Foi possível obter logs/informações técnicas necessárias.</w:t>
      </w:r>
    </w:p>
    <w:p>
      <w:pPr>
        <w:spacing w:after="30"/>
        <w:ind w:left="85"/>
      </w:pPr>
      <w:r>
        <w:rPr>
          <w:sz w:val="17"/>
        </w:rPr>
        <w:t>☐ Contingência e recuperação foram discutidas/testadas.</w:t>
      </w:r>
    </w:p>
    <w:p>
      <w:pPr>
        <w:spacing w:after="30"/>
        <w:ind w:left="85"/>
      </w:pPr>
      <w:r>
        <w:rPr>
          <w:sz w:val="17"/>
        </w:rPr>
        <w:t>☐ Fluxo para incidente com dados pessoais foi entendido.</w:t>
      </w:r>
    </w:p>
    <w:p>
      <w:pPr>
        <w:spacing w:after="30"/>
        <w:ind w:left="85"/>
      </w:pPr>
      <w:r>
        <w:rPr>
          <w:sz w:val="17"/>
        </w:rPr>
        <w:t>☐ Pendências foram registradas com responsável e prazo.</w:t>
      </w:r>
    </w:p>
    <w:p>
      <w:pPr>
        <w:spacing w:before="100" w:after="60"/>
      </w:pPr>
      <w:r>
        <w:rPr>
          <w:b/>
          <w:color w:val="1E40AF"/>
          <w:sz w:val="20"/>
        </w:rPr>
        <w:t>Resultado, falhas e plano de ação</w:t>
      </w:r>
    </w:p>
    <w:p>
      <w:pPr>
        <w:spacing w:after="20"/>
      </w:pPr>
      <w:r>
        <w:rPr>
          <w:color w:val="94A3B8"/>
          <w:sz w:val="16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94A3B8"/>
          <w:sz w:val="16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94A3B8"/>
          <w:sz w:val="16"/>
        </w:rPr>
        <w:t>________________________________________________________________________________________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