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REQUISITOS CONTRATUAIS DE RESPOSTA A INCIDENTES PARA TERCEIROS</w:t>
      </w:r>
    </w:p>
    <w:p>
      <w:pPr>
        <w:jc w:val="center"/>
      </w:pPr>
      <w:r>
        <w:rPr>
          <w:color w:val="475569"/>
          <w:sz w:val="18"/>
        </w:rPr>
        <w:t>Checklist para contrato/SLA — Questão 76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Fornecedores e prestadores essenciais participam dos procedimentos de resposta quando o incidente envolve seus serviços ou acessos?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after="30"/>
        <w:ind w:left="85"/>
      </w:pPr>
      <w:r>
        <w:rPr>
          <w:sz w:val="17"/>
        </w:rPr>
        <w:t>☐ Canal e contato para incidentes, inclusive fora do horário quando necessário.</w:t>
      </w:r>
    </w:p>
    <w:p>
      <w:pPr>
        <w:spacing w:after="30"/>
        <w:ind w:left="85"/>
      </w:pPr>
      <w:r>
        <w:rPr>
          <w:sz w:val="17"/>
        </w:rPr>
        <w:t>☐ Prazo para o fornecedor notificar a clínica sobre incidente relevante.</w:t>
      </w:r>
    </w:p>
    <w:p>
      <w:pPr>
        <w:spacing w:after="30"/>
        <w:ind w:left="85"/>
      </w:pPr>
      <w:r>
        <w:rPr>
          <w:sz w:val="17"/>
        </w:rPr>
        <w:t>☐ Obrigação de fornecer informações e evidências necessárias à investigação.</w:t>
      </w:r>
    </w:p>
    <w:p>
      <w:pPr>
        <w:spacing w:after="30"/>
        <w:ind w:left="85"/>
      </w:pPr>
      <w:r>
        <w:rPr>
          <w:sz w:val="17"/>
        </w:rPr>
        <w:t>☐ Responsabilidades de contenção, correção e recuperação.</w:t>
      </w:r>
    </w:p>
    <w:p>
      <w:pPr>
        <w:spacing w:after="30"/>
        <w:ind w:left="85"/>
      </w:pPr>
      <w:r>
        <w:rPr>
          <w:sz w:val="17"/>
        </w:rPr>
        <w:t>☐ Preservação de logs e registros por período compatível.</w:t>
      </w:r>
    </w:p>
    <w:p>
      <w:pPr>
        <w:spacing w:after="30"/>
        <w:ind w:left="85"/>
      </w:pPr>
      <w:r>
        <w:rPr>
          <w:sz w:val="17"/>
        </w:rPr>
        <w:t>☐ Cooperação na avaliação de incidentes com dados pessoais e nas comunicações do controlador.</w:t>
      </w:r>
    </w:p>
    <w:p>
      <w:pPr>
        <w:spacing w:after="30"/>
        <w:ind w:left="85"/>
      </w:pPr>
      <w:r>
        <w:rPr>
          <w:sz w:val="17"/>
        </w:rPr>
        <w:t>☐ Regras para acesso remoto emergencial e registros de sessão.</w:t>
      </w:r>
    </w:p>
    <w:p>
      <w:pPr>
        <w:spacing w:after="30"/>
        <w:ind w:left="85"/>
      </w:pPr>
      <w:r>
        <w:rPr>
          <w:sz w:val="17"/>
        </w:rPr>
        <w:t>☐ Subcontratados relevantes e fluxo de escalonamento.</w:t>
      </w:r>
    </w:p>
    <w:p>
      <w:pPr>
        <w:spacing w:after="30"/>
        <w:ind w:left="85"/>
      </w:pPr>
      <w:r>
        <w:rPr>
          <w:sz w:val="17"/>
        </w:rPr>
        <w:t>☐ SLA para incidentes críticos e indisponibilidade.</w:t>
      </w:r>
    </w:p>
    <w:p>
      <w:pPr>
        <w:spacing w:after="30"/>
        <w:ind w:left="85"/>
      </w:pPr>
      <w:r>
        <w:rPr>
          <w:sz w:val="17"/>
        </w:rPr>
        <w:t>☐ Participação em testes/simulações quando proporcional à criticidade.</w:t>
      </w:r>
    </w:p>
    <w:p>
      <w:pPr>
        <w:spacing w:after="30"/>
        <w:ind w:left="85"/>
      </w:pPr>
      <w:r>
        <w:rPr>
          <w:sz w:val="17"/>
        </w:rPr>
        <w:t>☐ Requisitos de confidencialidade e canal seguro para evidências.</w:t>
      </w:r>
    </w:p>
    <w:p>
      <w:pPr>
        <w:spacing w:after="30"/>
        <w:ind w:left="85"/>
      </w:pPr>
      <w:r>
        <w:rPr>
          <w:sz w:val="17"/>
        </w:rPr>
        <w:t>☐ Obrigação de comunicar mudanças de contato/processo.</w:t>
      </w:r>
    </w:p>
    <w:p>
      <w:pPr>
        <w:spacing w:before="100" w:after="60"/>
      </w:pPr>
      <w:r>
        <w:rPr>
          <w:b/>
          <w:color w:val="1E40AF"/>
          <w:sz w:val="20"/>
        </w:rPr>
        <w:t>Nota prática</w:t>
      </w:r>
    </w:p>
    <w:p>
      <w:pPr>
        <w:spacing w:after="30"/>
        <w:ind w:left="85"/>
      </w:pPr>
      <w:r>
        <w:rPr>
          <w:sz w:val="17"/>
        </w:rPr>
        <w:t>• O texto final deve ser ajustado pelo jurídico/contratos à relação real. O checklist serve para evitar que a resposta dependa somente de boa vontade ou contatos pessoais.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