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MATRIZ DE FORNECEDORES CRÍTICOS NA RESPOSTA A INCIDENTES</w:t>
      </w:r>
    </w:p>
    <w:p>
      <w:pPr>
        <w:jc w:val="center"/>
      </w:pPr>
      <w:r>
        <w:rPr>
          <w:color w:val="475569"/>
          <w:sz w:val="18"/>
        </w:rPr>
        <w:t>Matriz de dependências — Questão 76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Fornecedores e prestadores essenciais participam dos procedimentos de resposta quando o incidente envolve seus serviços ou acessos?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SLA: Acordo de Nível de Serviço, como disponibilidade, suporte e prazos de atendimento.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Fornecedor/serviço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Criticidade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Incidentes em que deve participar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Contato 24x7/emergência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Responsabilidade do fornecedor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Responsabilidade da clínica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SLA de acionamento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Última validação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RIS/PACS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Infraestrutura/servidor/storage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Firewall/VPN/rede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Backup/nuvem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Internet/telecom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Outros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