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53F69"/>
          <w:sz w:val="17"/>
        </w:rPr>
        <w:t>INSTRUMENTO DE AUTOAVALIAÇÃO DE CONTROLES DE SEGURANÇA CIBERNÉTICA</w:t>
      </w:r>
    </w:p>
    <w:p>
      <w:pPr>
        <w:jc w:val="center"/>
      </w:pPr>
      <w:r>
        <w:rPr>
          <w:b/>
          <w:color w:val="14213D"/>
          <w:sz w:val="29"/>
        </w:rPr>
        <w:t>MATRIZ DE ESCOPO DE BACKUP DOS ATIVOS CRÍTICOS</w:t>
      </w:r>
    </w:p>
    <w:p>
      <w:pPr>
        <w:jc w:val="center"/>
      </w:pPr>
      <w:r>
        <w:rPr>
          <w:color w:val="475569"/>
          <w:sz w:val="17"/>
        </w:rPr>
        <w:t>Matriz editável — Questão 78 | D08 — Continuidade e recuperação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366"/>
      </w:tblGrid>
      <w:tr>
        <w:tc>
          <w:tcPr>
            <w:tcW w:type="dxa" w:w="14366"/>
            <w:shd w:fill="EEF4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Questão: Os sistemas, dados, configurações e serviços críticos que devem ser protegidos por backup estão formalmente definidos?</w:t>
            </w:r>
          </w:p>
        </w:tc>
      </w:tr>
    </w:tbl>
    <w:p>
      <w:pPr>
        <w:spacing w:after="60"/>
      </w:pPr>
      <w:r>
        <w:rPr>
          <w:b/>
          <w:sz w:val="16"/>
        </w:rPr>
        <w:t xml:space="preserve">Uso do material: </w:t>
      </w:r>
      <w:r>
        <w:rPr>
          <w:sz w:val="16"/>
        </w:rPr>
        <w:t>apoio prático para implementar, verificar ou evidenciar o controle. O documento preenchido, isoladamente, não comprova nível 3; confronte-o com a prática real, registros e testes.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366"/>
      </w:tblGrid>
      <w:tr>
        <w:tc>
          <w:tcPr>
            <w:tcW w:type="dxa" w:w="14366"/>
            <w:vAlign w:val="center"/>
            <w:shd w:fill="F3F7FA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04" w:lineRule="auto"/>
            </w:pPr>
            <w:r>
              <w:rPr>
                <w:b/>
                <w:sz w:val="14"/>
              </w:rPr>
              <w:t xml:space="preserve">Legenda / termos usados — </w:t>
            </w:r>
            <w:r>
              <w:rPr>
                <w:sz w:val="13"/>
              </w:rPr>
              <w:t>RIS/PACS: RIS gerencia o fluxo administrativo/assistencial do exame; PACS armazena e disponibiliza imagens médicas.</w:t>
            </w:r>
            <w:r>
              <w:rPr>
                <w:sz w:val="13"/>
              </w:rPr>
              <w:t xml:space="preserve">  •  </w:t>
            </w:r>
            <w:r>
              <w:rPr>
                <w:sz w:val="13"/>
              </w:rPr>
              <w:t>VPN: rede privada virtual; canal protegido para acesso remoto ou comunicação entre redes.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96"/>
        <w:gridCol w:w="1796"/>
        <w:gridCol w:w="1796"/>
        <w:gridCol w:w="1796"/>
        <w:gridCol w:w="1796"/>
        <w:gridCol w:w="1796"/>
        <w:gridCol w:w="1796"/>
        <w:gridCol w:w="1796"/>
      </w:tblGrid>
      <w:tr>
        <w:trPr>
          <w:tblHeader w:val="true"/>
        </w:trPr>
        <w:tc>
          <w:tcPr>
            <w:tcW w:type="dxa" w:w="2835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3"/>
              </w:rPr>
              <w:t>Sistema/serviço/dado</w:t>
            </w:r>
          </w:p>
        </w:tc>
        <w:tc>
          <w:tcPr>
            <w:tcW w:type="dxa" w:w="2835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3"/>
              </w:rPr>
              <w:t>Processo suportado</w:t>
            </w:r>
          </w:p>
        </w:tc>
        <w:tc>
          <w:tcPr>
            <w:tcW w:type="dxa" w:w="2268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3"/>
              </w:rPr>
              <w:t>Responsável</w:t>
            </w:r>
          </w:p>
        </w:tc>
        <w:tc>
          <w:tcPr>
            <w:tcW w:type="dxa" w:w="3969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3"/>
              </w:rPr>
              <w:t>O que deve ser copiado</w:t>
            </w:r>
          </w:p>
        </w:tc>
        <w:tc>
          <w:tcPr>
            <w:tcW w:type="dxa" w:w="1984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3"/>
              </w:rPr>
              <w:t>Frequência atual</w:t>
            </w:r>
          </w:p>
        </w:tc>
        <w:tc>
          <w:tcPr>
            <w:tcW w:type="dxa" w:w="2835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3"/>
              </w:rPr>
              <w:t>Destino/cópia</w:t>
            </w:r>
          </w:p>
        </w:tc>
        <w:tc>
          <w:tcPr>
            <w:tcW w:type="dxa" w:w="3402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3"/>
              </w:rPr>
              <w:t>Dependências de restauração</w:t>
            </w:r>
          </w:p>
        </w:tc>
        <w:tc>
          <w:tcPr>
            <w:tcW w:type="dxa" w:w="1984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3"/>
              </w:rPr>
              <w:t>Incluído?</w:t>
            </w:r>
          </w:p>
        </w:tc>
      </w:tr>
      <w:tr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RIS/PACS</w:t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396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Banco, imagens/configurações conforme arquitetura</w:t>
            </w:r>
          </w:p>
        </w:tc>
        <w:tc>
          <w:tcPr>
            <w:tcW w:type="dxa" w:w="198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98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☐ Sim ☐ Não</w:t>
            </w:r>
          </w:p>
        </w:tc>
      </w:tr>
      <w:tr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Servidor de arquivos</w:t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396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98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98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Diretório/identidade</w:t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396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98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98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Sistema administrativo/faturamento</w:t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396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98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98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Configuração firewall/VPN/switches</w:t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396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98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98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Outros</w:t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396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98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98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</w:tbl>
    <w:p>
      <w:pPr>
        <w:spacing w:before="80" w:after="40"/>
      </w:pPr>
      <w:r>
        <w:rPr>
          <w:b/>
          <w:color w:val="1E40AF"/>
          <w:sz w:val="19"/>
        </w:rPr>
        <w:t>Critério de revisão</w:t>
      </w:r>
    </w:p>
    <w:p>
      <w:pPr>
        <w:spacing w:after="20"/>
        <w:ind w:left="57"/>
      </w:pPr>
      <w:r>
        <w:rPr>
          <w:sz w:val="17"/>
        </w:rPr>
        <w:t>• Revisar quando houver novo sistema, migração, mudança de fornecedor, alteração de armazenamento ou descontinuação.</w:t>
      </w:r>
    </w:p>
    <w:p>
      <w:pPr>
        <w:spacing w:after="20"/>
        <w:ind w:left="57"/>
      </w:pPr>
      <w:r>
        <w:rPr>
          <w:sz w:val="17"/>
        </w:rPr>
        <w:t>• Registrar explicitamente exclusões relevantes e sua justificativa.</w:t>
      </w:r>
    </w:p>
    <w:p>
      <w:pPr>
        <w:spacing w:before="80" w:after="40"/>
      </w:pPr>
      <w:r>
        <w:rPr>
          <w:b/>
          <w:color w:val="1E40AF"/>
          <w:sz w:val="19"/>
        </w:rPr>
        <w:t>Referências de apoio</w:t>
      </w:r>
    </w:p>
    <w:p>
      <w:pPr>
        <w:spacing w:after="0"/>
      </w:pPr>
      <w:r>
        <w:rPr>
          <w:color w:val="475569"/>
          <w:sz w:val="14"/>
        </w:rPr>
        <w:t>NIST Cybersecurity Framework (CSF) 2.0</w:t>
      </w:r>
    </w:p>
    <w:p>
      <w:pPr>
        <w:spacing w:after="0"/>
      </w:pPr>
      <w:r>
        <w:rPr>
          <w:color w:val="475569"/>
          <w:sz w:val="14"/>
        </w:rPr>
        <w:t>NIST SP 800-34 Rev. 1 — Contingency Planning Guide</w:t>
      </w:r>
    </w:p>
    <w:p>
      <w:pPr>
        <w:spacing w:after="0"/>
      </w:pPr>
      <w:r>
        <w:rPr>
          <w:color w:val="475569"/>
          <w:sz w:val="14"/>
        </w:rPr>
        <w:t>NIST SP 800-184 — Guide for Cybersecurity Event Recovery</w:t>
      </w:r>
    </w:p>
    <w:p>
      <w:pPr>
        <w:spacing w:after="0"/>
      </w:pPr>
      <w:r>
        <w:rPr>
          <w:color w:val="475569"/>
          <w:sz w:val="14"/>
        </w:rPr>
        <w:t>CISA #StopRansomware Guide — recomendações de backup offline/segregado e testes de restauração</w:t>
      </w:r>
    </w:p>
    <w:p>
      <w:pPr>
        <w:spacing w:after="0"/>
      </w:pPr>
      <w:r>
        <w:rPr>
          <w:color w:val="475569"/>
          <w:sz w:val="14"/>
        </w:rPr>
        <w:t>ANPD — Guia Orientativo sobre Segurança da Informação para Agentes de Tratamento de Pequeno Porte (2021), seção sobre segurança dos dados armazenados</w:t>
      </w:r>
    </w:p>
    <w:p>
      <w:pPr>
        <w:spacing w:before="40" w:after="0"/>
      </w:pPr>
      <w:r>
        <w:rPr>
          <w:i/>
          <w:color w:val="64748B"/>
          <w:sz w:val="14"/>
        </w:rPr>
        <w:t>Observação: material de apoio próprio e adaptável à realidade da clínica. Não representa certificação, parecer jurídico ou modelo oficial/homologado.</w:t>
      </w:r>
    </w:p>
    <w:sectPr w:rsidR="00FC693F" w:rsidRPr="0006063C" w:rsidSect="00034616">
      <w:footerReference w:type="default" r:id="rId9"/>
      <w:pgSz w:w="15840" w:h="12240" w:orient="landscape"/>
      <w:pgMar w:top="652" w:right="737" w:bottom="68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3"/>
      </w:rPr>
      <w:t>Material de apoio do instrumento — v0.5 / draft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