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7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29"/>
        </w:rPr>
        <w:t>MATRIZ DE FREQUÊNCIA E RETENÇÃO DE BACKUP POR CRITICIDADE</w:t>
      </w:r>
    </w:p>
    <w:p>
      <w:pPr>
        <w:jc w:val="center"/>
      </w:pPr>
      <w:r>
        <w:rPr>
          <w:color w:val="475569"/>
          <w:sz w:val="17"/>
        </w:rPr>
        <w:t>Matriz de decisão — Questão 79 | D08 — Continuidade e recuperação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366"/>
      </w:tblGrid>
      <w:tr>
        <w:tc>
          <w:tcPr>
            <w:tcW w:type="dxa" w:w="14366"/>
            <w:shd w:fill="EEF4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Questão: A frequência e a retenção dos backups são compatíveis com a criticidade dos dados e com o impacto aceitável de perda?</w:t>
            </w:r>
          </w:p>
        </w:tc>
      </w:tr>
    </w:tbl>
    <w:p>
      <w:pPr>
        <w:spacing w:after="60"/>
      </w:pPr>
      <w:r>
        <w:rPr>
          <w:b/>
          <w:sz w:val="16"/>
        </w:rPr>
        <w:t xml:space="preserve">Uso do material: </w:t>
      </w:r>
      <w:r>
        <w:rPr>
          <w:sz w:val="16"/>
        </w:rPr>
        <w:t>apoio prático para implementar, verificar ou evidenciar o controle. O documento preenchido, isoladamente, não comprova nível 3; confronte-o com a prática real, registros e testes.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366"/>
      </w:tblGrid>
      <w:tr>
        <w:tc>
          <w:tcPr>
            <w:tcW w:type="dxa" w:w="14366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RIS/PACS: RIS gerencia o fluxo administrativo/assistencial do exame; PACS armazena e disponibiliza imagens médicas.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96"/>
        <w:gridCol w:w="1796"/>
        <w:gridCol w:w="1796"/>
        <w:gridCol w:w="1796"/>
        <w:gridCol w:w="1796"/>
        <w:gridCol w:w="1796"/>
        <w:gridCol w:w="1796"/>
        <w:gridCol w:w="1796"/>
      </w:tblGrid>
      <w:tr>
        <w:trPr>
          <w:tblHeader w:val="true"/>
        </w:trPr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Sistema/dado</w:t>
            </w:r>
          </w:p>
        </w:tc>
        <w:tc>
          <w:tcPr>
            <w:tcW w:type="dxa" w:w="1701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Criticidade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Perda máxima aceitável (RPO alvo)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Frequência definida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Retenção operacional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Retenção adicional</w:t>
            </w:r>
          </w:p>
        </w:tc>
        <w:tc>
          <w:tcPr>
            <w:tcW w:type="dxa" w:w="3969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Justificativa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4"/>
              </w:rPr>
              <w:t>Responsável</w:t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RIS/PACS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Banco RIS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Arquivos administrativos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Configurações críticas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  <w:t>Outro</w:t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Orientação</w:t>
      </w:r>
    </w:p>
    <w:p>
      <w:pPr>
        <w:spacing w:after="20"/>
        <w:ind w:left="57"/>
      </w:pPr>
      <w:r>
        <w:rPr>
          <w:sz w:val="17"/>
        </w:rPr>
        <w:t>• A frequência deve ser coerente com a quantidade de dados que a organização aceita perder.</w:t>
      </w:r>
    </w:p>
    <w:p>
      <w:pPr>
        <w:spacing w:after="20"/>
        <w:ind w:left="57"/>
      </w:pPr>
      <w:r>
        <w:rPr>
          <w:sz w:val="17"/>
        </w:rPr>
        <w:t>• Retenção deve considerar necessidade operacional, histórica, contratual e legal aplicável; não use prazo padrão sem análise.</w:t>
      </w:r>
    </w:p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800-34 Rev. 1 — Contingency Planning Guide</w:t>
      </w:r>
    </w:p>
    <w:p>
      <w:pPr>
        <w:spacing w:after="0"/>
      </w:pPr>
      <w:r>
        <w:rPr>
          <w:color w:val="475569"/>
          <w:sz w:val="14"/>
        </w:rPr>
        <w:t>NIST SP 800-184 — Guide for Cybersecurity Event Recovery</w:t>
      </w:r>
    </w:p>
    <w:p>
      <w:pPr>
        <w:spacing w:after="0"/>
      </w:pPr>
      <w:r>
        <w:rPr>
          <w:color w:val="475569"/>
          <w:sz w:val="14"/>
        </w:rPr>
        <w:t>CISA #StopRansomware Guide — recomendações de backup offline/segregado e testes de restauração</w:t>
      </w:r>
    </w:p>
    <w:p>
      <w:pPr>
        <w:spacing w:after="0"/>
      </w:pPr>
      <w:r>
        <w:rPr>
          <w:color w:val="475569"/>
          <w:sz w:val="14"/>
        </w:rPr>
        <w:t>ANPD — Guia Orientativo sobre Segurança da Informação para Agentes de Tratamento de Pequeno Porte (2021), seção sobre segurança dos dados armazenados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5840" w:h="12240" w:orient="landscape"/>
      <w:pgMar w:top="652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