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RESILIÊNCIA DE BACKUP CONTRA RANSOMWARE</w:t>
      </w:r>
    </w:p>
    <w:p>
      <w:pPr>
        <w:jc w:val="center"/>
      </w:pPr>
      <w:r>
        <w:rPr>
          <w:color w:val="475569"/>
          <w:sz w:val="17"/>
        </w:rPr>
        <w:t>Checklist técnico — Questão 80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cópias de segurança segregadas do ambiente principal — por exemplo, externas, offline, isoladas ou imutáveis — em nível compatível com o risco de falhas, desastres e ransomware?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after="20"/>
        <w:ind w:left="57"/>
      </w:pPr>
      <w:r>
        <w:rPr>
          <w:sz w:val="17"/>
        </w:rPr>
        <w:t>☐ Existe ao menos uma cópia crítica fora do alcance direto do ambiente principal.</w:t>
      </w:r>
    </w:p>
    <w:p>
      <w:pPr>
        <w:spacing w:after="20"/>
        <w:ind w:left="57"/>
      </w:pPr>
      <w:r>
        <w:rPr>
          <w:sz w:val="17"/>
        </w:rPr>
        <w:t>☐ Credenciais administrativas do backup não são compartilhadas indevidamente com contas comuns do domínio.</w:t>
      </w:r>
    </w:p>
    <w:p>
      <w:pPr>
        <w:spacing w:after="20"/>
        <w:ind w:left="57"/>
      </w:pPr>
      <w:r>
        <w:rPr>
          <w:sz w:val="17"/>
        </w:rPr>
        <w:t>☐ Exclusão/alteração de backups exige privilégio controlado.</w:t>
      </w:r>
    </w:p>
    <w:p>
      <w:pPr>
        <w:spacing w:after="20"/>
        <w:ind w:left="57"/>
      </w:pPr>
      <w:r>
        <w:rPr>
          <w:sz w:val="17"/>
        </w:rPr>
        <w:t>☐ Imutabilidade, object lock, WORM ou mecanismo equivalente foi avaliado quando suportado.</w:t>
      </w:r>
    </w:p>
    <w:p>
      <w:pPr>
        <w:spacing w:after="20"/>
        <w:ind w:left="57"/>
      </w:pPr>
      <w:r>
        <w:rPr>
          <w:sz w:val="17"/>
        </w:rPr>
        <w:t>☐ Cópias externas/offline possuem proteção física e lógica.</w:t>
      </w:r>
    </w:p>
    <w:p>
      <w:pPr>
        <w:spacing w:after="20"/>
        <w:ind w:left="57"/>
      </w:pPr>
      <w:r>
        <w:rPr>
          <w:sz w:val="17"/>
        </w:rPr>
        <w:t>☐ Backups estão criptografados quando necessário e as chaves são recuperáveis.</w:t>
      </w:r>
    </w:p>
    <w:p>
      <w:pPr>
        <w:spacing w:after="20"/>
        <w:ind w:left="57"/>
      </w:pPr>
      <w:r>
        <w:rPr>
          <w:sz w:val="17"/>
        </w:rPr>
        <w:t>☐ Console de backup possui MFA quando suportado.</w:t>
      </w:r>
    </w:p>
    <w:p>
      <w:pPr>
        <w:spacing w:after="20"/>
        <w:ind w:left="57"/>
      </w:pPr>
      <w:r>
        <w:rPr>
          <w:sz w:val="17"/>
        </w:rPr>
        <w:t>☐ Alertas de falha, exclusão ou alteração relevante são monitorados.</w:t>
      </w:r>
    </w:p>
    <w:p>
      <w:pPr>
        <w:spacing w:after="20"/>
        <w:ind w:left="57"/>
      </w:pPr>
      <w:r>
        <w:rPr>
          <w:sz w:val="17"/>
        </w:rPr>
        <w:t>☐ Procedimento de recuperação considera ambiente limpo para evitar reinfecção.</w:t>
      </w:r>
    </w:p>
    <w:p>
      <w:pPr>
        <w:spacing w:after="20"/>
        <w:ind w:left="57"/>
      </w:pPr>
      <w:r>
        <w:rPr>
          <w:sz w:val="17"/>
        </w:rPr>
        <w:t>☐ Cópias segregadas são testadas, não apenas armazenadas.</w:t>
      </w:r>
    </w:p>
    <w:p>
      <w:pPr>
        <w:spacing w:before="80" w:after="40"/>
      </w:pPr>
      <w:r>
        <w:rPr>
          <w:b/>
          <w:color w:val="1E40AF"/>
          <w:sz w:val="19"/>
        </w:rPr>
        <w:t>Lacunas e ações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Imutabilidade: proteção que impede/dificulta alteração ou exclusão de uma cópia.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