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MATRIZ DE SEGREGAÇÃO E PROTEÇÃO DAS CÓPIAS DE SEGURANÇA</w:t>
      </w:r>
    </w:p>
    <w:p>
      <w:pPr>
        <w:jc w:val="center"/>
      </w:pPr>
      <w:r>
        <w:rPr>
          <w:color w:val="475569"/>
          <w:sz w:val="17"/>
        </w:rPr>
        <w:t>Matriz técnica — Questão 80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cópias de segurança segregadas do ambiente principal — por exemplo, externas, offline, isoladas ou imutáveis — em nível compatível com o risco de falhas, desastres e ransomware?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Conjunto de backup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Local/destino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Mesmo domínio/credencial do ambiente?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Offline/isolado?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Imutável/WORM?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Criptografado?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Quem pode apagar?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Teste de recuperação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 primário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Cópia secundária/externa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Cópia de sistemas críticos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Configurações/documentação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Meta</w:t>
      </w:r>
    </w:p>
    <w:p>
      <w:pPr>
        <w:spacing w:after="20"/>
        <w:ind w:left="57"/>
      </w:pPr>
      <w:r>
        <w:rPr>
          <w:sz w:val="17"/>
        </w:rPr>
        <w:t>• Evitar que uma única falha, credencial comprometida, ransomware ou desastre alcance simultaneamente original e todas as cópias.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