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PROCEDIMENTO DE ADMINISTRAÇÃO SEGURA DO BACKUP</w:t>
      </w:r>
    </w:p>
    <w:p>
      <w:pPr>
        <w:jc w:val="center"/>
      </w:pPr>
      <w:r>
        <w:rPr>
          <w:color w:val="475569"/>
          <w:sz w:val="17"/>
        </w:rPr>
        <w:t>Procedimento mínimo — Questão 80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Existem cópias de segurança segregadas do ambiente principal — por exemplo, externas, offline, isoladas ou imutáveis — em nível compatível com o risco de falhas, desastres e ransomware?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p>
      <w:pPr>
        <w:spacing w:before="80" w:after="40"/>
      </w:pPr>
      <w:r>
        <w:rPr>
          <w:b/>
          <w:color w:val="1E40AF"/>
          <w:sz w:val="19"/>
        </w:rPr>
        <w:t>Regras mínimas</w:t>
      </w:r>
    </w:p>
    <w:p>
      <w:pPr>
        <w:spacing w:after="20"/>
        <w:ind w:left="57"/>
      </w:pPr>
      <w:r>
        <w:rPr>
          <w:sz w:val="17"/>
        </w:rPr>
        <w:t>☐ Usar contas administrativas específicas e nominativas sempre que a solução permitir.</w:t>
      </w:r>
    </w:p>
    <w:p>
      <w:pPr>
        <w:spacing w:after="20"/>
        <w:ind w:left="57"/>
      </w:pPr>
      <w:r>
        <w:rPr>
          <w:sz w:val="17"/>
        </w:rPr>
        <w:t>☐ Aplicar MFA e privilégio mínimo no console de backup.</w:t>
      </w:r>
    </w:p>
    <w:p>
      <w:pPr>
        <w:spacing w:after="20"/>
        <w:ind w:left="57"/>
      </w:pPr>
      <w:r>
        <w:rPr>
          <w:sz w:val="17"/>
        </w:rPr>
        <w:t>☐ Separar, quando viável, credenciais do backup das credenciais administrativas comuns do ambiente.</w:t>
      </w:r>
    </w:p>
    <w:p>
      <w:pPr>
        <w:spacing w:after="20"/>
        <w:ind w:left="57"/>
      </w:pPr>
      <w:r>
        <w:rPr>
          <w:sz w:val="17"/>
        </w:rPr>
        <w:t>☐ Restringir quem pode alterar retenção, desabilitar jobs e excluir cópias.</w:t>
      </w:r>
    </w:p>
    <w:p>
      <w:pPr>
        <w:spacing w:after="20"/>
        <w:ind w:left="57"/>
      </w:pPr>
      <w:r>
        <w:rPr>
          <w:sz w:val="17"/>
        </w:rPr>
        <w:t>☐ Registrar mudanças críticas e revisar acessos periodicamente.</w:t>
      </w:r>
    </w:p>
    <w:p>
      <w:pPr>
        <w:spacing w:after="20"/>
        <w:ind w:left="57"/>
      </w:pPr>
      <w:r>
        <w:rPr>
          <w:sz w:val="17"/>
        </w:rPr>
        <w:t>☐ Proteger credenciais/chaves de recuperação em local conhecido e controlado.</w:t>
      </w:r>
    </w:p>
    <w:p>
      <w:pPr>
        <w:spacing w:after="20"/>
        <w:ind w:left="57"/>
      </w:pPr>
      <w:r>
        <w:rPr>
          <w:sz w:val="17"/>
        </w:rPr>
        <w:t>☐ Não testar restauração diretamente sobre o ambiente produtivo sem planejamento.</w:t>
      </w:r>
    </w:p>
    <w:p>
      <w:pPr>
        <w:spacing w:before="80" w:after="40"/>
      </w:pPr>
      <w:r>
        <w:rPr>
          <w:b/>
          <w:color w:val="1E40AF"/>
          <w:sz w:val="19"/>
        </w:rPr>
        <w:t>Responsabilidades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rPr>
          <w:tblHeader w:val="true"/>
        </w:trPr>
        <w:tc>
          <w:tcPr>
            <w:tcW w:type="dxa" w:w="45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Atividade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Responsável primário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Substituto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Evidência</w:t>
            </w:r>
          </w:p>
        </w:tc>
      </w:tr>
      <w:tr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Administração do backup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Aprovação de exclusão excepcional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Revisão de acessos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Teste de recuperação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after="0"/>
      </w:pPr>
      <w:r>
        <w:rPr>
          <w:color w:val="475569"/>
          <w:sz w:val="14"/>
        </w:rPr>
        <w:t>CISA #StopRansomware Guide — recomendações de backup offline/segregado e testes de restauração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