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CHECKLIST DE ENERGIA, UPS E AMBIENTE DA SALA TÉCNICA</w:t>
      </w:r>
    </w:p>
    <w:p>
      <w:pPr>
        <w:jc w:val="center"/>
      </w:pPr>
      <w:r>
        <w:rPr>
          <w:color w:val="475569"/>
          <w:sz w:val="17"/>
        </w:rPr>
        <w:t>Checklist físico/infraestrutura — Questão 84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infraestrutura crítica possui medidas de redundância e proteção contra falhas de energia, comunicação, armazenamento ou ambiente?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after="20"/>
        <w:ind w:left="57"/>
      </w:pPr>
      <w:r>
        <w:rPr>
          <w:sz w:val="17"/>
        </w:rPr>
        <w:t>☐ Nobreak/UPS cobre equipamentos definidos como críticos.</w:t>
      </w:r>
    </w:p>
    <w:p>
      <w:pPr>
        <w:spacing w:after="20"/>
        <w:ind w:left="57"/>
      </w:pPr>
      <w:r>
        <w:rPr>
          <w:sz w:val="17"/>
        </w:rPr>
        <w:t>☐ Autonomia real ou estimada é conhecida e compatível com a estratégia.</w:t>
      </w:r>
    </w:p>
    <w:p>
      <w:pPr>
        <w:spacing w:after="20"/>
        <w:ind w:left="57"/>
      </w:pPr>
      <w:r>
        <w:rPr>
          <w:sz w:val="17"/>
        </w:rPr>
        <w:t>☐ Baterias possuem data/estado de manutenção acompanhado.</w:t>
      </w:r>
    </w:p>
    <w:p>
      <w:pPr>
        <w:spacing w:after="20"/>
        <w:ind w:left="57"/>
      </w:pPr>
      <w:r>
        <w:rPr>
          <w:sz w:val="17"/>
        </w:rPr>
        <w:t>☐ Desligamento seguro está previsto quando autonomia não for suficiente.</w:t>
      </w:r>
    </w:p>
    <w:p>
      <w:pPr>
        <w:spacing w:after="20"/>
        <w:ind w:left="57"/>
      </w:pPr>
      <w:r>
        <w:rPr>
          <w:sz w:val="17"/>
        </w:rPr>
        <w:t>☐ Gerador, quando existente, possui teste e combustível/manutenção controlados.</w:t>
      </w:r>
    </w:p>
    <w:p>
      <w:pPr>
        <w:spacing w:after="20"/>
        <w:ind w:left="57"/>
      </w:pPr>
      <w:r>
        <w:rPr>
          <w:sz w:val="17"/>
        </w:rPr>
        <w:t>☐ Temperatura/ventilação/climatização são compatíveis com os equipamentos.</w:t>
      </w:r>
    </w:p>
    <w:p>
      <w:pPr>
        <w:spacing w:after="20"/>
        <w:ind w:left="57"/>
      </w:pPr>
      <w:r>
        <w:rPr>
          <w:sz w:val="17"/>
        </w:rPr>
        <w:t>☐ Alarmes de temperatura/energia são monitorados quando disponíveis.</w:t>
      </w:r>
    </w:p>
    <w:p>
      <w:pPr>
        <w:spacing w:after="20"/>
        <w:ind w:left="57"/>
      </w:pPr>
      <w:r>
        <w:rPr>
          <w:sz w:val="17"/>
        </w:rPr>
        <w:t>☐ Rack/sala possui acesso físico controlado.</w:t>
      </w:r>
    </w:p>
    <w:p>
      <w:pPr>
        <w:spacing w:after="20"/>
        <w:ind w:left="57"/>
      </w:pPr>
      <w:r>
        <w:rPr>
          <w:sz w:val="17"/>
        </w:rPr>
        <w:t>☐ Extintor/proteção física está adequada às regras locais aplicáveis.</w:t>
      </w:r>
    </w:p>
    <w:p>
      <w:pPr>
        <w:spacing w:after="20"/>
        <w:ind w:left="57"/>
      </w:pPr>
      <w:r>
        <w:rPr>
          <w:sz w:val="17"/>
        </w:rPr>
        <w:t>☐ Cabos e circuitos críticos estão identificados.</w:t>
      </w:r>
    </w:p>
    <w:p>
      <w:pPr>
        <w:spacing w:before="80" w:after="40"/>
      </w:pPr>
      <w:r>
        <w:rPr>
          <w:b/>
          <w:color w:val="1E40AF"/>
          <w:sz w:val="19"/>
        </w:rPr>
        <w:t>Ações necessárias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