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INVENTÁRIO DE ACESSOS REMOTOS DE FABRICANTES E MANTENEDORES</w:t>
      </w:r>
    </w:p>
    <w:p>
      <w:pPr>
        <w:jc w:val="center"/>
      </w:pPr>
      <w:r>
        <w:rPr>
          <w:color w:val="475569"/>
          <w:sz w:val="17"/>
        </w:rPr>
        <w:t>Inventário de terceiros — Questão 89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Os acessos remotos de fabricantes e mantenedores a modalidades, estações e servidores são autorizados, restritos ao necessário, temporários quando possível e registrados?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7"/>
        <w:gridCol w:w="1437"/>
        <w:gridCol w:w="1437"/>
        <w:gridCol w:w="1437"/>
        <w:gridCol w:w="1437"/>
        <w:gridCol w:w="1437"/>
        <w:gridCol w:w="1437"/>
        <w:gridCol w:w="1437"/>
        <w:gridCol w:w="1437"/>
        <w:gridCol w:w="1437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Fornecedor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Sistema/equipamento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Finalidade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Meio de acesso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Conta/identidade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MFA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Permanente/temporário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Aprovador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Logs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Última revisão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Sinal de atenção</w:t>
      </w:r>
    </w:p>
    <w:p>
      <w:pPr>
        <w:spacing w:after="20"/>
        <w:ind w:left="57"/>
      </w:pPr>
      <w:r>
        <w:rPr>
          <w:sz w:val="16"/>
        </w:rPr>
        <w:t>• Acesso permanente, conta compartilhada, ausência de logs ou conexão direta sem mediação devem ser explicitamente avaliados e justificados.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ANPD — Guia Orientativo sobre Segurança da Informação para Agentes de Tratamento de Pequeno Porte (2021)</w:t>
      </w:r>
    </w:p>
    <w:p>
      <w:pPr>
        <w:spacing w:after="0"/>
      </w:pPr>
      <w:r>
        <w:rPr>
          <w:color w:val="475569"/>
          <w:sz w:val="14"/>
        </w:rPr>
        <w:t>Lei nº 13.709/2018 (LGPD), especialmente princípios e medidas de segurança aplicáveis ao contexto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