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7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28"/>
        </w:rPr>
        <w:t>MATRIZ DE CANAIS DE ENTREGA E EXPORTAÇÃO DE IMAGENS/LAUDOS</w:t>
      </w:r>
    </w:p>
    <w:p>
      <w:pPr>
        <w:jc w:val="center"/>
      </w:pPr>
      <w:r>
        <w:rPr>
          <w:color w:val="475569"/>
          <w:sz w:val="17"/>
        </w:rPr>
        <w:t>Matriz de canais — Questão 90 | D09 — Segurança de RIS/PACS e do fluxo de diagnóstico por imagem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shd w:fill="EEF4FF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Questão: O envio, a exportação e a entrega de imagens e laudos por portal, mídia, link, integração ou outro meio possuem controles de acesso ou autenticação, prazo/restrição quando aplicável e rastreabilidade compatível com o risco?</w:t>
            </w:r>
          </w:p>
        </w:tc>
      </w:tr>
    </w:tbl>
    <w:p>
      <w:pPr>
        <w:spacing w:after="60"/>
      </w:pPr>
      <w:r>
        <w:rPr>
          <w:b/>
          <w:sz w:val="16"/>
        </w:rPr>
        <w:t xml:space="preserve">Uso do material: </w:t>
      </w:r>
      <w:r>
        <w:rPr>
          <w:sz w:val="16"/>
        </w:rPr>
        <w:t>apoio prático para implementar, verificar ou evidenciar o controle. O documento preenchido, isoladamente, não comprova nível 3; confronte-o com a prática real, configurações, registros, contratos e testes.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366"/>
      </w:tblGrid>
      <w:tr>
        <w:tc>
          <w:tcPr>
            <w:tcW w:type="dxa" w:w="14366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RIS: Sistema de Informação Radiológica, usado no fluxo administrativo/assistencial dos exames.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DICOM: padrão para formato e comunicação de imagens médicas e dados associados.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96"/>
        <w:gridCol w:w="1596"/>
        <w:gridCol w:w="1596"/>
        <w:gridCol w:w="1596"/>
        <w:gridCol w:w="1596"/>
        <w:gridCol w:w="1596"/>
        <w:gridCol w:w="1596"/>
        <w:gridCol w:w="1596"/>
        <w:gridCol w:w="1596"/>
      </w:tblGrid>
      <w:tr>
        <w:trPr>
          <w:tblHeader w:val="true"/>
        </w:trPr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Canal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Público/destinatário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Autenticação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Expiração/restrição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Criptografia/transporte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Rastreabilidade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Mídia/cópia local</w:t>
            </w:r>
          </w:p>
        </w:tc>
        <w:tc>
          <w:tcPr>
            <w:tcW w:type="dxa" w:w="2268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Responsável</w:t>
            </w:r>
          </w:p>
        </w:tc>
        <w:tc>
          <w:tcPr>
            <w:tcW w:type="dxa" w:w="1701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2"/>
              </w:rPr>
              <w:t>Status</w:t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Portal do paciente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Portal médico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Link temporário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Mídia removível/CD/USB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Integração entre organizações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  <w:t>Exportação excepcional</w:t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835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2268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701"/>
            <w:tcMar>
              <w:top w:w="65" w:type="dxa"/>
              <w:start w:w="75" w:type="dxa"/>
              <w:bottom w:w="65" w:type="dxa"/>
              <w:end w:w="75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</w:tbl>
    <w:p>
      <w:pPr>
        <w:spacing w:before="80" w:after="40"/>
      </w:pPr>
      <w:r>
        <w:rPr>
          <w:b/>
          <w:color w:val="1E40AF"/>
          <w:sz w:val="19"/>
        </w:rPr>
        <w:t>Objetivo</w:t>
      </w:r>
    </w:p>
    <w:p>
      <w:pPr>
        <w:spacing w:after="20"/>
        <w:ind w:left="57"/>
      </w:pPr>
      <w:r>
        <w:rPr>
          <w:sz w:val="16"/>
        </w:rPr>
        <w:t>• Identificar canais “paralelos” não previstos na política, como mensageria pessoal, e tratar o risco antes de normalizar seu uso.</w:t>
      </w:r>
    </w:p>
    <w:p>
      <w:pPr>
        <w:spacing w:before="80" w:after="40"/>
      </w:pPr>
      <w:r>
        <w:rPr>
          <w:b/>
          <w:color w:val="1E40AF"/>
          <w:sz w:val="19"/>
        </w:rPr>
        <w:t>Referências de apoio</w:t>
      </w:r>
    </w:p>
    <w:p>
      <w:pPr>
        <w:spacing w:after="0"/>
      </w:pPr>
      <w:r>
        <w:rPr>
          <w:color w:val="475569"/>
          <w:sz w:val="14"/>
        </w:rPr>
        <w:t>NIST Cybersecurity Framework (CSF) 2.0</w:t>
      </w:r>
    </w:p>
    <w:p>
      <w:pPr>
        <w:spacing w:after="0"/>
      </w:pPr>
      <w:r>
        <w:rPr>
          <w:color w:val="475569"/>
          <w:sz w:val="14"/>
        </w:rPr>
        <w:t>NIST SP 1800-24 — Securing Picture Archiving and Communication System (PACS)</w:t>
      </w:r>
    </w:p>
    <w:p>
      <w:pPr>
        <w:spacing w:after="0"/>
      </w:pPr>
      <w:r>
        <w:rPr>
          <w:color w:val="475569"/>
          <w:sz w:val="14"/>
        </w:rPr>
        <w:t>DICOM PS3.15 — Security and System Management Profiles</w:t>
      </w:r>
    </w:p>
    <w:p>
      <w:pPr>
        <w:spacing w:after="0"/>
      </w:pPr>
      <w:r>
        <w:rPr>
          <w:color w:val="475569"/>
          <w:sz w:val="14"/>
        </w:rPr>
        <w:t>ANPD — Guia Orientativo sobre Segurança da Informação para Agentes de Tratamento de Pequeno Porte (2021)</w:t>
      </w:r>
    </w:p>
    <w:p>
      <w:pPr>
        <w:spacing w:after="0"/>
      </w:pPr>
      <w:r>
        <w:rPr>
          <w:color w:val="475569"/>
          <w:sz w:val="14"/>
        </w:rPr>
        <w:t>Lei nº 13.709/2018 (LGPD), especialmente princípios e medidas de segurança aplicáveis ao contexto</w:t>
      </w:r>
    </w:p>
    <w:p>
      <w:pPr>
        <w:spacing w:before="40" w:after="0"/>
      </w:pPr>
      <w:r>
        <w:rPr>
          <w:i/>
          <w:color w:val="64748B"/>
          <w:sz w:val="14"/>
        </w:rPr>
        <w:t>Observação: material de apoio próprio e adaptável à realidade da clínica. Não representa certificação, parecer jurídico, configuração universal de fabricante ou modelo oficial/homologado. Em modalidades e sistemas legados, valide alterações com o fornecedor e preserve a segurança assistencial.</w:t>
      </w:r>
    </w:p>
    <w:sectPr w:rsidR="00FC693F" w:rsidRPr="0006063C" w:rsidSect="00034616">
      <w:footerReference w:type="default" r:id="rId9"/>
      <w:pgSz w:w="15840" w:h="12240" w:orient="landscape"/>
      <w:pgMar w:top="652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3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