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PROCEDIMENTO DE ENTREGA SEGURA DE IMAGENS E LAUDOS</w:t>
      </w:r>
    </w:p>
    <w:p>
      <w:pPr>
        <w:jc w:val="center"/>
      </w:pPr>
      <w:r>
        <w:rPr>
          <w:color w:val="475569"/>
          <w:sz w:val="17"/>
        </w:rPr>
        <w:t>Procedimento operacional — Questão 90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O envio, a exportação e a entrega de imagens e laudos por portal, mídia, link, integração ou outro meio possuem controles de acesso ou autenticação, prazo/restrição quando aplicável e rastreabilidade compatível com o risco?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p>
      <w:pPr>
        <w:spacing w:before="80" w:after="40"/>
      </w:pPr>
      <w:r>
        <w:rPr>
          <w:b/>
          <w:color w:val="1E40AF"/>
          <w:sz w:val="19"/>
        </w:rPr>
        <w:t>Fluxo mínimo</w:t>
      </w:r>
    </w:p>
    <w:p>
      <w:pPr>
        <w:spacing w:after="20"/>
        <w:ind w:left="57"/>
      </w:pPr>
      <w:r>
        <w:rPr>
          <w:sz w:val="16"/>
        </w:rPr>
        <w:t>• Priorizar canais institucionais definidos para paciente, médico e integração.</w:t>
      </w:r>
    </w:p>
    <w:p>
      <w:pPr>
        <w:spacing w:after="20"/>
        <w:ind w:left="57"/>
      </w:pPr>
      <w:r>
        <w:rPr>
          <w:sz w:val="16"/>
        </w:rPr>
        <w:t>• Validar identidade/autorização conforme o canal e o contexto.</w:t>
      </w:r>
    </w:p>
    <w:p>
      <w:pPr>
        <w:spacing w:after="20"/>
        <w:ind w:left="57"/>
      </w:pPr>
      <w:r>
        <w:rPr>
          <w:sz w:val="16"/>
        </w:rPr>
        <w:t>• Aplicar menor exposição: entregar somente o exame/laudo necessário.</w:t>
      </w:r>
    </w:p>
    <w:p>
      <w:pPr>
        <w:spacing w:after="20"/>
        <w:ind w:left="57"/>
      </w:pPr>
      <w:r>
        <w:rPr>
          <w:sz w:val="16"/>
        </w:rPr>
        <w:t>• Usar expiração, autenticação e proteção de transporte quando disponíveis e pertinentes.</w:t>
      </w:r>
    </w:p>
    <w:p>
      <w:pPr>
        <w:spacing w:after="20"/>
        <w:ind w:left="57"/>
      </w:pPr>
      <w:r>
        <w:rPr>
          <w:sz w:val="16"/>
        </w:rPr>
        <w:t>• Registrar exportações e entregas relevantes conforme capacidade do sistema.</w:t>
      </w:r>
    </w:p>
    <w:p>
      <w:pPr>
        <w:spacing w:after="20"/>
        <w:ind w:left="57"/>
      </w:pPr>
      <w:r>
        <w:rPr>
          <w:sz w:val="16"/>
        </w:rPr>
        <w:t>• Evitar envio por conta pessoal, armazenamento pessoal ou canal não autorizado.</w:t>
      </w:r>
    </w:p>
    <w:p>
      <w:pPr>
        <w:spacing w:after="20"/>
        <w:ind w:left="57"/>
      </w:pPr>
      <w:r>
        <w:rPr>
          <w:sz w:val="16"/>
        </w:rPr>
        <w:t>• Tratar mídia removível com custódia, proteção e descarte apropriados.</w:t>
      </w:r>
    </w:p>
    <w:p>
      <w:pPr>
        <w:spacing w:after="20"/>
        <w:ind w:left="57"/>
      </w:pPr>
      <w:r>
        <w:rPr>
          <w:sz w:val="16"/>
        </w:rPr>
        <w:t>• Documentar exceções e revisar canais periodicamente.</w:t>
      </w:r>
    </w:p>
    <w:p>
      <w:pPr>
        <w:spacing w:before="80" w:after="40"/>
      </w:pPr>
      <w:r>
        <w:rPr>
          <w:b/>
          <w:color w:val="1E40AF"/>
          <w:sz w:val="19"/>
        </w:rPr>
        <w:t>Responsáveis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Dono do processo: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TI/RIS-PACS: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Privacidade, se necessário: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Revisão: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after="0"/>
      </w:pPr>
      <w:r>
        <w:rPr>
          <w:color w:val="475569"/>
          <w:sz w:val="14"/>
        </w:rPr>
        <w:t>ANPD — Guia Orientativo sobre Segurança da Informação para Agentes de Tratamento de Pequeno Porte (2021)</w:t>
      </w:r>
    </w:p>
    <w:p>
      <w:pPr>
        <w:spacing w:after="0"/>
      </w:pPr>
      <w:r>
        <w:rPr>
          <w:color w:val="475569"/>
          <w:sz w:val="14"/>
        </w:rPr>
        <w:t>Lei nº 13.709/2018 (LGPD), especialmente princípios e medidas de segurança aplicáveis ao contexto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