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SOLICITAÇÃO E APROVAÇÃO DE MUDANÇA EM INTEGRAÇÃO</w:t>
      </w:r>
    </w:p>
    <w:p>
      <w:pPr>
        <w:jc w:val="center"/>
      </w:pPr>
      <w:r>
        <w:rPr>
          <w:color w:val="475569"/>
          <w:sz w:val="17"/>
        </w:rPr>
        <w:t>Formulário de change — Questão 91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As integrações e dependências críticas entre modalidades, RIS, PACS, sistemas de laudo e portais estão documentadas, e alterações relevantes são autorizadas e controladas?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Rollback: retorno controlado à configuração/versão anterior.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Mudança nº: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Solicitante: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proposta: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Sistema/integração: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técnico: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7370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Registro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Descrição da mudança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Motivo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Impacto assistencial/operacional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Risco de segurança/privacidade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Janela de execução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Teste prévio, se possível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Plano de rollback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Comunicação necessária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Backup de configuração realizado?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 ☐ N/A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Autorização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Aprovado?: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Condição/restrição: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