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CHECKLIST DE MINIMIZAÇÃO E DESIDENTIFICAÇÃO EM IMAGENS/DICOM</w:t>
      </w:r>
    </w:p>
    <w:p>
      <w:pPr>
        <w:jc w:val="center"/>
      </w:pPr>
      <w:r>
        <w:rPr>
          <w:color w:val="475569"/>
          <w:sz w:val="17"/>
        </w:rPr>
        <w:t>Checklist técnico e de privacidade — Questão 92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Quando imagens ou dados são utilizados fora da finalidade assistencial principal — como ensino, pesquisa, demonstração ou suporte — são aplicadas minimização, desidentificação ou outras medidas de proteção quando pertinentes?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p>
      <w:pPr>
        <w:spacing w:after="20"/>
        <w:ind w:left="57"/>
      </w:pPr>
      <w:r>
        <w:rPr>
          <w:sz w:val="16"/>
        </w:rPr>
        <w:t>☐ Finalidade e conjunto mínimo necessário foram definidos antes da exportação.</w:t>
      </w:r>
    </w:p>
    <w:p>
      <w:pPr>
        <w:spacing w:after="20"/>
        <w:ind w:left="57"/>
      </w:pPr>
      <w:r>
        <w:rPr>
          <w:sz w:val="16"/>
        </w:rPr>
        <w:t>☐ Identificadores diretos desnecessários foram removidos/transformados.</w:t>
      </w:r>
    </w:p>
    <w:p>
      <w:pPr>
        <w:spacing w:after="20"/>
        <w:ind w:left="57"/>
      </w:pPr>
      <w:r>
        <w:rPr>
          <w:sz w:val="16"/>
        </w:rPr>
        <w:t>☐ Campos DICOM potencialmente identificadores foram tratados conforme perfil/procedimento adotado.</w:t>
      </w:r>
    </w:p>
    <w:p>
      <w:pPr>
        <w:spacing w:after="20"/>
        <w:ind w:left="57"/>
      </w:pPr>
      <w:r>
        <w:rPr>
          <w:sz w:val="16"/>
        </w:rPr>
        <w:t>☐ Textos livres e campos privados foram avaliados quando presentes.</w:t>
      </w:r>
    </w:p>
    <w:p>
      <w:pPr>
        <w:spacing w:after="20"/>
        <w:ind w:left="57"/>
      </w:pPr>
      <w:r>
        <w:rPr>
          <w:sz w:val="16"/>
        </w:rPr>
        <w:t>☐ Possibilidade de informação identificadora gravada nos próprios pixels (“burned-in”) foi avaliada quando pertinente.</w:t>
      </w:r>
    </w:p>
    <w:p>
      <w:pPr>
        <w:spacing w:after="20"/>
        <w:ind w:left="57"/>
      </w:pPr>
      <w:r>
        <w:rPr>
          <w:sz w:val="16"/>
        </w:rPr>
        <w:t>☐ Miniaturas, relatórios, arquivos auxiliares e metadados fora do objeto DICOM foram considerados.</w:t>
      </w:r>
    </w:p>
    <w:p>
      <w:pPr>
        <w:spacing w:after="20"/>
        <w:ind w:left="57"/>
      </w:pPr>
      <w:r>
        <w:rPr>
          <w:sz w:val="16"/>
        </w:rPr>
        <w:t>☐ Risco de reidentificação e necessidade de pseudonimização foram avaliados.</w:t>
      </w:r>
    </w:p>
    <w:p>
      <w:pPr>
        <w:spacing w:after="20"/>
        <w:ind w:left="57"/>
      </w:pPr>
      <w:r>
        <w:rPr>
          <w:sz w:val="16"/>
        </w:rPr>
        <w:t>☐ Amostra foi revisada antes de compartilhar o conjunto.</w:t>
      </w:r>
    </w:p>
    <w:p>
      <w:pPr>
        <w:spacing w:after="20"/>
        <w:ind w:left="57"/>
      </w:pPr>
      <w:r>
        <w:rPr>
          <w:sz w:val="16"/>
        </w:rPr>
        <w:t>☐ Destino, prazo e restrições de uso foram registrados.</w:t>
      </w:r>
    </w:p>
    <w:p>
      <w:pPr>
        <w:spacing w:after="20"/>
        <w:ind w:left="57"/>
      </w:pPr>
      <w:r>
        <w:rPr>
          <w:sz w:val="16"/>
        </w:rPr>
        <w:t>☐ Procedimento não presume que “remover o nome” seja anonimização suficiente.</w:t>
      </w:r>
    </w:p>
    <w:p>
      <w:pPr>
        <w:spacing w:before="80" w:after="40"/>
      </w:pPr>
      <w:r>
        <w:rPr>
          <w:b/>
          <w:color w:val="1E40AF"/>
          <w:sz w:val="19"/>
        </w:rPr>
        <w:t>Resultado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Desidentificação: redução/remoção de elementos que associem dados a uma pessoa; não implica automaticamente anonimização irreversível.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Pseudonimização: substituição de identificadores por códigos/chaves, mantendo reidentificação possível com informação adicional protegida.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Conjunto/dataset: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Ferramenta/procedimento: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Pendências: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after="0"/>
      </w:pPr>
      <w:r>
        <w:rPr>
          <w:color w:val="475569"/>
          <w:sz w:val="14"/>
        </w:rPr>
        <w:t>ANPD — Guia Orientativo Tratamento de Dados Pessoais para Fins Acadêmicos e para a Realização de Estudos e Pesquisas</w:t>
      </w:r>
    </w:p>
    <w:p>
      <w:pPr>
        <w:spacing w:after="0"/>
      </w:pPr>
      <w:r>
        <w:rPr>
          <w:color w:val="475569"/>
          <w:sz w:val="14"/>
        </w:rPr>
        <w:t>DICOM PS3.15 — Attribute Confidentiality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