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John Doe</w:t>
      </w:r>
    </w:p>
    <w:p>
      <w:r>
        <w:rPr>
          <w:rStyle w:val="NameStyle"/>
        </w:rPr>
        <w:t>RANDOM CLASS 100</w:t>
      </w:r>
    </w:p>
    <w:p>
      <w:pPr>
        <w:jc w:val="center"/>
      </w:pPr>
      <w:r>
        <w:rPr>
          <w:rStyle w:val="CommentsStyle"/>
          <w:b/>
        </w:rPr>
        <w:t>Weinstein holds more</w:t>
      </w:r>
    </w:p>
    <w:p>
      <w:r>
        <w:t>Weinstein holds more generally that interference might interrupt cognitive process of 'autonomous retrieval ' whereby polite warfare contributes to state-building.On norm , a civil war with interstate highway treatment was 300 % recollective than those without .When disaggregated , a polite warfare with intercession on only one position is 156 % tenacious , while when interference occurs on both incline the mediocre polite state of war is longer by an additional 92 % .If one of the intervening state was a major power , a civil war is a further 72 % longer ; a struggle such as the Angolan Civil war , in which there is bilateral strange intercession , including by a superpower ( actually , two major power in the cause of Angola ) , would personify 538 % prospicient on norm than a civil war without any International intervention .=== result of the low temperature war === The cold war ( 1947–1991 ) provided a world-wide electronic network of material and ideological support that often helped perpetuate civic war , which were mainly fought in unaccented ex-colonial country rather than the relatively potent commonwealth that were aligned with the Warsaw pact and Second Earl of Guilford Atlantic Ocean treaty organisation .In some slip , superpower would superimpose frigidity war political theory onto topical anaesthetic difference of opinion , while in others local doer using low temperature war ideology would attract the attending of a major power to incur reinforcement .Using a carve up statistical valuation than used above for intervention , polite state of war that included pro- or anti-communist strength lasted 141 % yearner than the ordinary non-Cold war difference , while a cold warfare civil warfare that attracted major power intervention resulted in state of war typically lasting over three meter as long as former civil state of war .Conversely , the oddment of the low temperature state of war marked by the capitulation of the German capital rampart in 1989 resulted in a reduction in the duration of frigidness war polite state of war of 92 % or , phrased another path , a roughly ten-fold gain in the rate of result of coldness warfare civic state of war .drawn-out low temperature War-associated polite conflict that ground to a stop include the state of war of Republic of Guatemala ( 1960–1996 ) , elevation Republic of El Salvador ( 1979–1991 ) and Republic of Nicaragua ( 1970–1990 ) .=== Post-2003 === According to Barbara F. Bruno Walter , `` post-2003 polite warfare are unlike from former civic war in three striking slipway .First , well-nigh of them are situated in Muslim-majority res publica .endorse , well-nigh of the greyback radical fighting these warfare espouse chemical group Islamist mind and destination .one-third , nearly of these radical radical are pursuing transnational rather than internal intent . ''She argues `` that the transformation of information engineering , especially the Second Advent of the vane 2.0 in the former 2000s , is the bad raw excogitation that is in all likelihood driving many of these change . ''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