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ADMIT-LIPA:</w:t>
      </w:r>
    </w:p>
    <w:p>
      <w:pPr>
        <w:spacing w:after="0"/>
        <w:jc w:val="center"/>
      </w:pPr>
      <w:r>
        <w:rPr>
          <w:b/>
          <w:sz w:val="28"/>
        </w:rPr>
        <w:t>A WEB-BASED ADMISSIONS CUSTOMER RELATIONSHIP</w:t>
      </w:r>
    </w:p>
    <w:p>
      <w:pPr>
        <w:spacing w:after="0"/>
        <w:jc w:val="center"/>
      </w:pPr>
      <w:r>
        <w:rPr>
          <w:b/>
          <w:sz w:val="28"/>
        </w:rPr>
        <w:t>MANAGEMENT SYSTEM FOR THE ADMISSIONS OFFICE</w:t>
      </w:r>
    </w:p>
    <w:p>
      <w:pPr>
        <w:spacing w:after="480"/>
        <w:jc w:val="center"/>
      </w:pPr>
      <w:r>
        <w:rPr>
          <w:b/>
          <w:sz w:val="28"/>
        </w:rPr>
        <w:t>OF STI COLLEGE LIPA</w:t>
      </w:r>
    </w:p>
    <w:p>
      <w:pPr>
        <w:spacing w:after="0"/>
        <w:jc w:val="center"/>
      </w:pPr>
      <w:r>
        <w:rPr>
          <w:b/>
          <w:sz w:val="24"/>
        </w:rPr>
        <w:t>STI College Lipa</w:t>
      </w:r>
    </w:p>
    <w:p>
      <w:pPr>
        <w:spacing w:after="0"/>
        <w:jc w:val="center"/>
      </w:pPr>
      <w:r>
        <w:rPr>
          <w:b w:val="0"/>
          <w:sz w:val="24"/>
        </w:rPr>
        <w:t>C. M. Recto Avenue, Barangay 6, Lipa City, Batangas</w:t>
      </w:r>
    </w:p>
    <w:p>
      <w:pPr>
        <w:spacing w:after="480"/>
        <w:jc w:val="center"/>
      </w:pPr>
      <w:r>
        <w:rPr>
          <w:b w:val="0"/>
          <w:sz w:val="24"/>
        </w:rPr>
        <w:t>School of Information and Communications Technology</w:t>
      </w:r>
    </w:p>
    <w:p>
      <w:pPr>
        <w:spacing w:after="480"/>
        <w:jc w:val="center"/>
      </w:pPr>
      <w:r>
        <w:rPr>
          <w:b/>
          <w:sz w:val="26"/>
        </w:rPr>
        <w:t>Prototype Progress Report</w:t>
      </w:r>
    </w:p>
    <w:p>
      <w:pPr>
        <w:spacing w:after="0"/>
        <w:jc w:val="center"/>
      </w:pPr>
      <w:r>
        <w:rPr>
          <w:b w:val="0"/>
          <w:sz w:val="24"/>
        </w:rPr>
        <w:t>Presented in Partial Fulfillment of the Requirements in</w:t>
      </w:r>
    </w:p>
    <w:p>
      <w:pPr>
        <w:spacing w:after="600"/>
        <w:jc w:val="center"/>
      </w:pPr>
      <w:r>
        <w:rPr>
          <w:b w:val="0"/>
          <w:sz w:val="24"/>
        </w:rPr>
        <w:t>Application Development and Emerging Technologies</w:t>
      </w:r>
    </w:p>
    <w:p>
      <w:pPr>
        <w:spacing w:after="0"/>
        <w:jc w:val="center"/>
      </w:pPr>
      <w:r>
        <w:rPr>
          <w:b/>
          <w:sz w:val="24"/>
        </w:rPr>
        <w:t>Submitted by the Proponents:</w:t>
      </w:r>
    </w:p>
    <w:p>
      <w:pPr>
        <w:spacing w:after="0"/>
        <w:jc w:val="center"/>
      </w:pPr>
      <w:r>
        <w:rPr>
          <w:b w:val="0"/>
          <w:sz w:val="24"/>
        </w:rPr>
        <w:t>Atienza, Kurt Judd P.</w:t>
      </w:r>
    </w:p>
    <w:p>
      <w:pPr>
        <w:spacing w:after="0"/>
        <w:jc w:val="center"/>
      </w:pPr>
      <w:r>
        <w:rPr>
          <w:b w:val="0"/>
          <w:sz w:val="24"/>
        </w:rPr>
        <w:t>Garonia, Ian Humprey M.</w:t>
      </w:r>
    </w:p>
    <w:p>
      <w:pPr>
        <w:spacing w:after="0"/>
        <w:jc w:val="center"/>
      </w:pPr>
      <w:r>
        <w:rPr>
          <w:b w:val="0"/>
          <w:sz w:val="24"/>
        </w:rPr>
        <w:t>Apura, Alexis H.</w:t>
      </w:r>
    </w:p>
    <w:p>
      <w:pPr>
        <w:spacing w:after="0"/>
        <w:jc w:val="center"/>
      </w:pPr>
      <w:r>
        <w:rPr>
          <w:b w:val="0"/>
          <w:sz w:val="24"/>
        </w:rPr>
        <w:t>Tenedo, Francis Gerald G.</w:t>
      </w:r>
    </w:p>
    <w:p>
      <w:pPr>
        <w:spacing w:after="360"/>
        <w:jc w:val="center"/>
      </w:pPr>
      <w:r>
        <w:rPr>
          <w:b w:val="0"/>
          <w:sz w:val="24"/>
        </w:rPr>
      </w:r>
    </w:p>
    <w:p>
      <w:pPr>
        <w:spacing w:after="0"/>
        <w:jc w:val="center"/>
      </w:pPr>
      <w:r>
        <w:rPr>
          <w:b/>
          <w:sz w:val="24"/>
        </w:rPr>
        <w:t>Submitted to:</w:t>
      </w:r>
    </w:p>
    <w:p>
      <w:pPr>
        <w:spacing w:after="0"/>
        <w:jc w:val="center"/>
      </w:pPr>
      <w:r>
        <w:rPr>
          <w:b w:val="0"/>
          <w:sz w:val="24"/>
        </w:rPr>
        <w:t>Ms. Gabrielle Hernandez</w:t>
      </w:r>
    </w:p>
    <w:p>
      <w:pPr>
        <w:spacing w:after="480"/>
        <w:jc w:val="center"/>
      </w:pPr>
      <w:r>
        <w:rPr>
          <w:b w:val="0"/>
          <w:sz w:val="24"/>
        </w:rPr>
        <w:t>Course Facilitator</w:t>
      </w:r>
    </w:p>
    <w:p>
      <w:pPr>
        <w:spacing w:after="0"/>
        <w:jc w:val="center"/>
      </w:pPr>
      <w:r>
        <w:rPr>
          <w:b w:val="0"/>
          <w:sz w:val="24"/>
        </w:rPr>
        <w:t>First Semester, School Year 2026-2027</w:t>
      </w:r>
    </w:p>
    <w:p>
      <w:pPr>
        <w:spacing w:after="0"/>
        <w:jc w:val="center"/>
      </w:pPr>
      <w:r>
        <w:rPr>
          <w:b w:val="0"/>
          <w:sz w:val="24"/>
        </w:rPr>
        <w:t>Report date: October 28, 2026</w:t>
      </w:r>
    </w:p>
    <w:p>
      <w:r>
        <w:br w:type="page"/>
      </w:r>
    </w:p>
    <w:p>
      <w:pPr>
        <w:pStyle w:val="Heading1"/>
      </w:pPr>
      <w:r>
        <w:t>1. Summary of Progress</w:t>
      </w:r>
    </w:p>
    <w:p>
      <w:pPr>
        <w:jc w:val="both"/>
      </w:pPr>
      <w:r>
        <w:t>The proponents moved ADMIT-Lipa from the approved System Concept Proposal to a working web application. All fourteen use cases in the use-case diagram (Figure 1 of the proposal) now run end to end in the development build, and the automated acceptance suite passed 52 of 52 checks on October 28, 2026. Every functional requirement FR-01 to FR-14 is exercised by at least one check that follows the verification method written in the proposal.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103"/>
      </w:tblGrid>
      <w:tr>
        <w:tc>
          <w:tcPr>
            <w:tcW w:type="dxa" w:w="3969"/>
            <w:shd w:val="clear" w:color="auto" w:fill="D9D9D9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  <w:sz w:val="20"/>
              </w:rPr>
              <w:t>Status as of October 28, 2026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Use cases implemented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14 of 14 (UC1 to UC14)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Functional requirements verified by automated test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14 of 14 (FR-01 to FR-14)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Non-functional requirements verified by automated test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NFR-02, NFR-03 (in part); NFR-05 by screenshot at 390 px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Screens designed and captured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13 screens, desktop (1920 x 1080) and mobile (390 x 844), light and dark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Source code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https://github.com/Tiredicey/APPDEV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Deployment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Runs in the development environment; public hosting on Cloudflare Pages is the next step</w:t>
            </w:r>
          </w:p>
        </w:tc>
      </w:tr>
    </w:tbl>
    <w:p/>
    <w:p>
      <w:pPr>
        <w:pStyle w:val="Heading1"/>
      </w:pPr>
      <w:r>
        <w:t>2. Technology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835"/>
        <w:gridCol w:w="4536"/>
      </w:tblGrid>
      <w:tr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2835"/>
            <w:shd w:val="clear" w:color="auto" w:fill="D9D9D9"/>
          </w:tcPr>
          <w:p>
            <w:r/>
            <w:r>
              <w:rPr>
                <w:b/>
                <w:sz w:val="20"/>
              </w:rPr>
              <w:t>Choice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Hono web framework on Cloudflare Workers / Pages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Runs at the network edge; no server for the campus to maintain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Cloudflare D1 (SQLite)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Relational tables for tickets, requirements, payments and the audit log; Cloudflare states D1 encrypts data at rest and in transit (Cloudflare, 2026)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Field encryption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AES-256-GCM via the Web Crypto API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Date of birth, mobile number, address and financial-aid answers are encrypted before they reach the database (NFR-03)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Passwords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PBKDF2-SHA-256, 100,000 iterations, per-user salt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No plain-text passwords stored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Front end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Plain JavaScript single-page app, IBM Plex type, no framework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Small download for mobile users on slow connections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Development assistant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Genspark AI coding agent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Generated code, tests and the background video under the proponents' direction; the team reviewed the screens and tested the prototype</w:t>
            </w:r>
          </w:p>
        </w:tc>
      </w:tr>
    </w:tbl>
    <w:p/>
    <w:p>
      <w:pPr>
        <w:pStyle w:val="Heading1"/>
      </w:pPr>
      <w:r>
        <w:t>3. Requirement Traceability: What Was Built and How It Was Verified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963"/>
        <w:gridCol w:w="6237"/>
        <w:gridCol w:w="963"/>
      </w:tblGrid>
      <w:tr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8"/>
              </w:rPr>
              <w:t>Req.</w:t>
            </w:r>
          </w:p>
        </w:tc>
        <w:tc>
          <w:tcPr>
            <w:tcW w:type="dxa" w:w="964"/>
            <w:shd w:val="clear" w:color="auto" w:fill="D9D9D9"/>
          </w:tcPr>
          <w:p>
            <w: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6236"/>
            <w:shd w:val="clear" w:color="auto" w:fill="D9D9D9"/>
          </w:tcPr>
          <w:p>
            <w:r/>
            <w:r>
              <w:rPr>
                <w:b/>
                <w:sz w:val="18"/>
              </w:rPr>
              <w:t>Implemented behavior</w:t>
            </w:r>
          </w:p>
        </w:tc>
        <w:tc>
          <w:tcPr>
            <w:tcW w:type="dxa" w:w="964"/>
            <w:shd w:val="clear" w:color="auto" w:fill="D9D9D9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FR-01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Inquiry form returns a ticket number such as ADM-2026-00001 in the same session and stores it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FR-02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Second profile with the same surname, first name and date of birth is blocked with a message (keyed HMAC index, so the duplicate check works on encrypted data)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FR-03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UC3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Each required document shows received, pending or rejected; a rejection requires a reason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FR-04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UC4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TES, TES-3A, TDP and SHS Voucher flagged from the encoded profile; boundary tested at P400,000 and P400,001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FR-05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UC5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Applicant sees own stage only; opening another record returns "forbidden"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FR-06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UC6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Elapsed working days computed against the 3 / 7 / 20-day tiers, excluding weekends and holidays entered by the administrator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FR-07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UC7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Volume, stage conversion and case aging for any date range; totals reconcile with the raw case list; CSV export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FR-08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UC8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Consent statement text, timestamp and purpose stored for every inquiry and application; no consent, no record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FR-09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UC9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Reservation fee validated only with an official receipt number; a receipt number cannot be reused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FR-10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UC10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Deficiency notice lists each document still pending after its deadline; repeat runs do not duplicate notices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FR-11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UC11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Endorsed case reaches the financial aid coordinator queue with the program document list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FR-12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UC12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Opening a record requires a stated purpose; user, record, time and purpose are logged; applicants can download their own access log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FR-13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UC13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Ticket owned by one named officer; cannot be resolved without a closing remark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FR-14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UC14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Overdue ticket raised to the School Administrator queue; on-time tickets are not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4. Screens</w:t>
      </w:r>
    </w:p>
    <w:p>
      <w:pPr>
        <w:jc w:val="both"/>
      </w:pPr>
      <w:r>
        <w:t>The screens below were captured from the running build with an automated browser. The landing page uses the 1921 x 1080 "Landing Page" frame and its #FFF5C3 fill from the team Figma file as its 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Landing page with the looping background video (desktop).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7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plicant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Applicant dashboard: stage, requirements, subsidy matches, questions, consent (UC3, UC4, UC5, UC8).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ick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 Officer ticket queue with service-level clock (UC6, UC13).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plicant-rec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5. Staff view of an applicant record: compliance, payment, aid endorsement (UC3, UC9, UC10, UC11).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6. Admissions analytics for the School Administrator (UC7).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134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u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1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7. Personal data access log for the Data Protection Officer (UC12).</w:t>
      </w:r>
    </w:p>
    <w:p>
      <w:pPr>
        <w:pStyle w:val="Heading1"/>
      </w:pPr>
      <w:r>
        <w:t>5. Background Video</w:t>
      </w:r>
    </w:p>
    <w:p>
      <w:pPr>
        <w:jc w:val="both"/>
      </w:pPr>
      <w:r>
        <w:t>The landing page plays a 12-second seamless loop at 30 frames per second, 1280 x 720, 6.3 MB, H.264. It shows a slow fall down the core of an abandoned orbital station. Camera speed and the amber warning lamps pulse at 140 beats per minute. The largest frame-to-frame brightness change is {video["max_delta"]:.2f} of 255 levels, far below the WCAG 2.3.1 flash threshold. The video is muted, carries no information, and has a Pause control. It does not autoplay for visitors who set "reduce motion" on their device.</w:t>
      </w:r>
    </w:p>
    <w:p>
      <w:pPr>
        <w:pStyle w:val="Heading1"/>
      </w:pPr>
      <w:r>
        <w:t>6. Member Contributions</w:t>
      </w:r>
    </w:p>
    <w:p>
      <w:pPr>
        <w:jc w:val="both"/>
      </w:pPr>
      <w:r>
        <w:t>Each member signs his own row to confirm the contribution listed.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927"/>
        <w:gridCol w:w="3402"/>
        <w:gridCol w:w="1701"/>
      </w:tblGrid>
      <w:tr>
        <w:tc>
          <w:tcPr>
            <w:tcW w:type="dxa" w:w="2268"/>
            <w:shd w:val="clear" w:color="auto" w:fill="D9D9D9"/>
          </w:tcPr>
          <w:p>
            <w:r/>
            <w:r>
              <w:rPr>
                <w:b/>
                <w:sz w:val="20"/>
              </w:rPr>
              <w:t>Member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20"/>
              </w:rPr>
              <w:t>Contribution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794"/>
        </w:trPr>
        <w:tc>
          <w:tcPr>
            <w:tcW w:type="dxa" w:w="2268"/>
          </w:tcPr>
          <w:p>
            <w:r/>
            <w:r>
              <w:rPr>
                <w:sz w:val="20"/>
              </w:rPr>
              <w:t>Atienza, Kurt Judd P.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Project Lead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Designed the landing frame in Figma; directed the AI-assisted build of the back end, database and test suite; integrated and tested the prototype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94"/>
        </w:trPr>
        <w:tc>
          <w:tcPr>
            <w:tcW w:type="dxa" w:w="2268"/>
          </w:tcPr>
          <w:p>
            <w:r/>
            <w:r>
              <w:rPr>
                <w:sz w:val="20"/>
              </w:rPr>
              <w:t>Garonia, Ian Humprey M.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UX/UI Designer and Tester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Designed screens in Figma; tested the prototype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94"/>
        </w:trPr>
        <w:tc>
          <w:tcPr>
            <w:tcW w:type="dxa" w:w="2268"/>
          </w:tcPr>
          <w:p>
            <w:r/>
            <w:r>
              <w:rPr>
                <w:sz w:val="20"/>
              </w:rPr>
              <w:t>Apura, Alexis H.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UX/UI Designer and Tester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Designed screens in Figma; tested the prototype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94"/>
        </w:trPr>
        <w:tc>
          <w:tcPr>
            <w:tcW w:type="dxa" w:w="2268"/>
          </w:tcPr>
          <w:p>
            <w:r/>
            <w:r>
              <w:rPr>
                <w:sz w:val="20"/>
              </w:rPr>
              <w:t>Tenedo, Francis Gerald G.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UX/UI Designer and Tester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Designed screens in Figma; tested the prototype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References</w:t>
      </w:r>
    </w:p>
    <w:p>
      <w:pPr>
        <w:ind w:left="720" w:hanging="720"/>
      </w:pPr>
      <w:r>
        <w:t>Cloudflare. (2026, April 21). Data security. Cloudflare D1 docs. https://developers.cloudflare.com/d1/reference/data-security/</w:t>
      </w:r>
    </w:p>
    <w:p>
      <w:pPr>
        <w:ind w:left="720" w:hanging="720"/>
      </w:pPr>
      <w:r>
        <w:t>Department of Education. (n.d.). Senior high school voucher program guidelines. https://depedroxi.ph/voucher-program/</w:t>
      </w:r>
    </w:p>
    <w:p>
      <w:pPr>
        <w:ind w:left="720" w:hanging="720"/>
      </w:pPr>
      <w:r>
        <w:t>STI Education Services Group. (n.d.). Admissions. https://www.sti.edu/admissions.asp</w:t>
      </w:r>
    </w:p>
    <w:p>
      <w:pPr>
        <w:ind w:left="720" w:hanging="720"/>
      </w:pPr>
      <w:r>
        <w:t>Unified Student Financial Assistance System for Tertiary Education. (n.d.). Tertiary education subsidy and Tulong Dunong program. https://unifast.gov.ph/tes.html</w:t>
      </w:r>
    </w:p>
    <w:p>
      <w:pPr>
        <w:ind w:left="720" w:hanging="720"/>
      </w:pPr>
      <w:r>
        <w:t>World Wide Web Consortium. (2023). Web Content Accessibility Guidelines (WCAG) 2.2. https://www.w3.org/TR/WCAG22/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