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17B1" w14:textId="77777777" w:rsidR="00BC11C3" w:rsidRPr="00BC11C3" w:rsidRDefault="00BC11C3" w:rsidP="00BC11C3">
      <w:pPr>
        <w:rPr>
          <w:b/>
          <w:bCs/>
        </w:rPr>
      </w:pPr>
      <w:r w:rsidRPr="00BC11C3">
        <w:rPr>
          <w:b/>
          <w:bCs/>
        </w:rPr>
        <w:t>(1) UNIFIED ABSTRACT SET</w:t>
      </w:r>
    </w:p>
    <w:p w14:paraId="5FEBBD50" w14:textId="77777777" w:rsidR="00BC11C3" w:rsidRPr="00BC11C3" w:rsidRDefault="00BC11C3" w:rsidP="00BC11C3">
      <w:r w:rsidRPr="00BC11C3">
        <w:t>These are short, polished abstracts — one for each paper — all sharing the same voice, structure, cadence, and conceptual language.</w:t>
      </w:r>
      <w:r w:rsidRPr="00BC11C3">
        <w:br/>
        <w:t xml:space="preserve">They will appear in the </w:t>
      </w:r>
      <w:proofErr w:type="spellStart"/>
      <w:r w:rsidRPr="00BC11C3">
        <w:t>Zenodo</w:t>
      </w:r>
      <w:proofErr w:type="spellEnd"/>
      <w:r w:rsidRPr="00BC11C3">
        <w:t xml:space="preserve"> metadata + inside the papers.</w:t>
      </w:r>
    </w:p>
    <w:p w14:paraId="71CA81FF" w14:textId="77777777" w:rsidR="00BC11C3" w:rsidRPr="00BC11C3" w:rsidRDefault="00BC11C3" w:rsidP="00BC11C3">
      <w:r w:rsidRPr="00BC11C3">
        <w:pict w14:anchorId="5574998C">
          <v:rect id="_x0000_i1025" style="width:0;height:1.5pt" o:hralign="center" o:hrstd="t" o:hr="t" fillcolor="#a0a0a0" stroked="f"/>
        </w:pict>
      </w:r>
    </w:p>
    <w:p w14:paraId="00EA0EF9" w14:textId="77777777" w:rsidR="00BC11C3" w:rsidRPr="00BC11C3" w:rsidRDefault="00BC11C3" w:rsidP="00BC11C3">
      <w:pPr>
        <w:rPr>
          <w:b/>
          <w:bCs/>
        </w:rPr>
      </w:pPr>
      <w:r w:rsidRPr="00BC11C3">
        <w:rPr>
          <w:b/>
          <w:bCs/>
        </w:rPr>
        <w:t>Paper 2 Abstract — The TIG-Resonance Evolution Equation</w:t>
      </w:r>
    </w:p>
    <w:p w14:paraId="2E4D1956" w14:textId="77777777" w:rsidR="00BC11C3" w:rsidRPr="00BC11C3" w:rsidRDefault="00BC11C3" w:rsidP="00BC11C3">
      <w:r w:rsidRPr="00BC11C3">
        <w:rPr>
          <w:b/>
          <w:bCs/>
        </w:rPr>
        <w:t>Abstract:</w:t>
      </w:r>
      <w:r w:rsidRPr="00BC11C3">
        <w:br/>
        <w:t xml:space="preserve">We present the full mathematical formulation of the TIG-Resonance evolution equation, a memory-augmented dual-lattice field model that produces stable boundaries, regenerative dynamics, and coherent self-organization. The model integrates collapse forces, diffusion, oscillatory modulation, stochastic resonance, distributed memory, and scar-based structural defects into a single </w:t>
      </w:r>
      <w:proofErr w:type="spellStart"/>
      <w:r w:rsidRPr="00BC11C3">
        <w:t>integro</w:t>
      </w:r>
      <w:proofErr w:type="spellEnd"/>
      <w:r w:rsidRPr="00BC11C3">
        <w:t>-partial differential equation. We provide explicit operator definitions, discretization procedures, and reproducible pseudo-code. This paper establishes the foundation for the empirical validation studies in Papers 3–8.</w:t>
      </w:r>
    </w:p>
    <w:p w14:paraId="5ED1B888" w14:textId="77777777" w:rsidR="00BC11C3" w:rsidRPr="00BC11C3" w:rsidRDefault="00BC11C3" w:rsidP="00BC11C3">
      <w:r w:rsidRPr="00BC11C3">
        <w:rPr>
          <w:b/>
          <w:bCs/>
        </w:rPr>
        <w:t>Keywords:</w:t>
      </w:r>
      <w:r w:rsidRPr="00BC11C3">
        <w:t xml:space="preserve"> non-equilibrium dynamics, memory kernels, dual-lattice systems, self-healing fields, stochastic resonance, template-based identity, scar operators</w:t>
      </w:r>
    </w:p>
    <w:p w14:paraId="2EA118E7" w14:textId="77777777" w:rsidR="00BC11C3" w:rsidRPr="00BC11C3" w:rsidRDefault="00BC11C3" w:rsidP="00BC11C3">
      <w:r w:rsidRPr="00BC11C3">
        <w:pict w14:anchorId="753383B2">
          <v:rect id="_x0000_i1026" style="width:0;height:1.5pt" o:hralign="center" o:hrstd="t" o:hr="t" fillcolor="#a0a0a0" stroked="f"/>
        </w:pict>
      </w:r>
    </w:p>
    <w:p w14:paraId="75452FD4" w14:textId="77777777" w:rsidR="00BC11C3" w:rsidRPr="00BC11C3" w:rsidRDefault="00BC11C3" w:rsidP="00BC11C3">
      <w:pPr>
        <w:rPr>
          <w:b/>
          <w:bCs/>
        </w:rPr>
      </w:pPr>
      <w:r w:rsidRPr="00BC11C3">
        <w:rPr>
          <w:b/>
          <w:bCs/>
        </w:rPr>
        <w:t>Paper 3 Abstract — Phase Transition at C ≈ 4.93</w:t>
      </w:r>
    </w:p>
    <w:p w14:paraId="7A48D704" w14:textId="77777777" w:rsidR="00BC11C3" w:rsidRPr="00BC11C3" w:rsidRDefault="00BC11C3" w:rsidP="00BC11C3">
      <w:r w:rsidRPr="00BC11C3">
        <w:rPr>
          <w:b/>
          <w:bCs/>
        </w:rPr>
        <w:t>Abstract:</w:t>
      </w:r>
      <w:r w:rsidRPr="00BC11C3">
        <w:br/>
        <w:t xml:space="preserve">Using the TIG-Resonance equation, we identify a reproducible phase transition at coherence C ≈ 4.93, separating a sub-critical unstable regime from a super-critical self-organizing regime. Through systematic simulation across noise levels, memory strengths, and initial conditions, we demonstrate: (1) consistent climb toward C ≥ 4.93, (2) a sharp change in Lyapunov behavior, and (3) the emergence of a stable long-lived template state above the threshold. We show that 4.93 is not a mortality boundary, but a structural transition </w:t>
      </w:r>
      <w:proofErr w:type="gramStart"/>
      <w:r w:rsidRPr="00BC11C3">
        <w:t>point</w:t>
      </w:r>
      <w:proofErr w:type="gramEnd"/>
      <w:r w:rsidRPr="00BC11C3">
        <w:t xml:space="preserve"> governing template formation.</w:t>
      </w:r>
    </w:p>
    <w:p w14:paraId="576DB029" w14:textId="77777777" w:rsidR="00BC11C3" w:rsidRPr="00BC11C3" w:rsidRDefault="00BC11C3" w:rsidP="00BC11C3">
      <w:r w:rsidRPr="00BC11C3">
        <w:rPr>
          <w:b/>
          <w:bCs/>
        </w:rPr>
        <w:t>Keywords:</w:t>
      </w:r>
      <w:r w:rsidRPr="00BC11C3">
        <w:t xml:space="preserve"> phase transitions, coherence, Lyapunov stability, emergent order, critical thresholds, nonlinear field dynamics</w:t>
      </w:r>
    </w:p>
    <w:p w14:paraId="260BEA8A" w14:textId="77777777" w:rsidR="00BC11C3" w:rsidRPr="00BC11C3" w:rsidRDefault="00BC11C3" w:rsidP="00BC11C3">
      <w:r w:rsidRPr="00BC11C3">
        <w:pict w14:anchorId="54503CD2">
          <v:rect id="_x0000_i1027" style="width:0;height:1.5pt" o:hralign="center" o:hrstd="t" o:hr="t" fillcolor="#a0a0a0" stroked="f"/>
        </w:pict>
      </w:r>
    </w:p>
    <w:p w14:paraId="32317B36" w14:textId="77777777" w:rsidR="00BC11C3" w:rsidRPr="00BC11C3" w:rsidRDefault="00BC11C3" w:rsidP="00BC11C3">
      <w:pPr>
        <w:rPr>
          <w:b/>
          <w:bCs/>
        </w:rPr>
      </w:pPr>
      <w:r w:rsidRPr="00BC11C3">
        <w:rPr>
          <w:b/>
          <w:bCs/>
        </w:rPr>
        <w:t>Paper 4 Abstract — Where Identity Resides</w:t>
      </w:r>
    </w:p>
    <w:p w14:paraId="2F50A09B" w14:textId="77777777" w:rsidR="00BC11C3" w:rsidRPr="00BC11C3" w:rsidRDefault="00BC11C3" w:rsidP="00BC11C3">
      <w:r w:rsidRPr="00BC11C3">
        <w:rPr>
          <w:b/>
          <w:bCs/>
        </w:rPr>
        <w:t>Abstract:</w:t>
      </w:r>
      <w:r w:rsidRPr="00BC11C3">
        <w:br/>
        <w:t xml:space="preserve">We investigate whether the organism’s identity is stored in the dual-lattice representation </w:t>
      </w:r>
      <w:r w:rsidRPr="00BC11C3">
        <w:lastRenderedPageBreak/>
        <w:t>φ*, in the spatial scars, or in the field dynamics themselves. We perform systematic corruption of the dual lattice through deletion, noise, and phase scrambling. In all cases, the organism recovers its full pattern with near-perfect correlation (≥ 0.99). We conclude that identity is distributed across the scar register, memory kernel, and field geometry, while the dual lattice serves as a non-essential reference. This establishes TIG-Resonance identity as inherently redundant and substrate-agnostic.</w:t>
      </w:r>
    </w:p>
    <w:p w14:paraId="432E39EB" w14:textId="77777777" w:rsidR="00BC11C3" w:rsidRPr="00BC11C3" w:rsidRDefault="00BC11C3" w:rsidP="00BC11C3">
      <w:r w:rsidRPr="00BC11C3">
        <w:rPr>
          <w:b/>
          <w:bCs/>
        </w:rPr>
        <w:t>Keywords:</w:t>
      </w:r>
      <w:r w:rsidRPr="00BC11C3">
        <w:t xml:space="preserve"> distributed identity, template memory, dual-lattice perturbation, redundancy, robustness</w:t>
      </w:r>
    </w:p>
    <w:p w14:paraId="5F70BD84" w14:textId="77777777" w:rsidR="00BC11C3" w:rsidRPr="00BC11C3" w:rsidRDefault="00BC11C3" w:rsidP="00BC11C3">
      <w:r w:rsidRPr="00BC11C3">
        <w:pict w14:anchorId="253A398E">
          <v:rect id="_x0000_i1028" style="width:0;height:1.5pt" o:hralign="center" o:hrstd="t" o:hr="t" fillcolor="#a0a0a0" stroked="f"/>
        </w:pict>
      </w:r>
    </w:p>
    <w:p w14:paraId="0323664B" w14:textId="77777777" w:rsidR="00BC11C3" w:rsidRPr="00BC11C3" w:rsidRDefault="00BC11C3" w:rsidP="00BC11C3">
      <w:pPr>
        <w:rPr>
          <w:b/>
          <w:bCs/>
        </w:rPr>
      </w:pPr>
      <w:r w:rsidRPr="00BC11C3">
        <w:rPr>
          <w:b/>
          <w:bCs/>
        </w:rPr>
        <w:t>Paper 5 Abstract — Mortality and Sub-Critical Coherence</w:t>
      </w:r>
    </w:p>
    <w:p w14:paraId="00180FF6" w14:textId="77777777" w:rsidR="00BC11C3" w:rsidRPr="00BC11C3" w:rsidRDefault="00BC11C3" w:rsidP="00BC11C3">
      <w:r w:rsidRPr="00BC11C3">
        <w:rPr>
          <w:b/>
          <w:bCs/>
        </w:rPr>
        <w:t>Abstract:</w:t>
      </w:r>
      <w:r w:rsidRPr="00BC11C3">
        <w:br/>
        <w:t>We test whether TIG-Resonance organisms can recover from trauma when damaged below the coherence threshold C ≈ 4.93. Across 18 experimental conditions combining low initial coherence (C = 1.5–4.5) with multiple levels of scar removal (10–50%), all organisms fully recovered and exceeded their initial coherence. No mortality line was identified. Template formation universally emerges even from low-coherence states, demonstrating intrinsic bootstrap capacity of the model.</w:t>
      </w:r>
    </w:p>
    <w:p w14:paraId="3628F323" w14:textId="77777777" w:rsidR="00BC11C3" w:rsidRPr="00BC11C3" w:rsidRDefault="00BC11C3" w:rsidP="00BC11C3">
      <w:r w:rsidRPr="00BC11C3">
        <w:rPr>
          <w:b/>
          <w:bCs/>
        </w:rPr>
        <w:t>Keywords:</w:t>
      </w:r>
      <w:r w:rsidRPr="00BC11C3">
        <w:t xml:space="preserve"> mortality boundary, bootstrap dynamics, self-repair, low-coherence regime, resilience</w:t>
      </w:r>
    </w:p>
    <w:p w14:paraId="5C045AFA" w14:textId="77777777" w:rsidR="00BC11C3" w:rsidRPr="00BC11C3" w:rsidRDefault="00BC11C3" w:rsidP="00BC11C3">
      <w:r w:rsidRPr="00BC11C3">
        <w:pict w14:anchorId="45BEBA54">
          <v:rect id="_x0000_i1029" style="width:0;height:1.5pt" o:hralign="center" o:hrstd="t" o:hr="t" fillcolor="#a0a0a0" stroked="f"/>
        </w:pict>
      </w:r>
    </w:p>
    <w:p w14:paraId="2E230CDA" w14:textId="77777777" w:rsidR="00BC11C3" w:rsidRPr="00BC11C3" w:rsidRDefault="00BC11C3" w:rsidP="00BC11C3">
      <w:pPr>
        <w:rPr>
          <w:b/>
          <w:bCs/>
        </w:rPr>
      </w:pPr>
      <w:r w:rsidRPr="00BC11C3">
        <w:rPr>
          <w:b/>
          <w:bCs/>
        </w:rPr>
        <w:t>Paper 6 Abstract — The Crystalline Self (Perfect Correction)</w:t>
      </w:r>
    </w:p>
    <w:p w14:paraId="11B0CD7B" w14:textId="77777777" w:rsidR="00BC11C3" w:rsidRPr="00BC11C3" w:rsidRDefault="00BC11C3" w:rsidP="00BC11C3">
      <w:r w:rsidRPr="00BC11C3">
        <w:rPr>
          <w:b/>
          <w:bCs/>
        </w:rPr>
        <w:t>Abstract:</w:t>
      </w:r>
      <w:r w:rsidRPr="00BC11C3">
        <w:br/>
        <w:t>We perform scar mutagenesis experiments to test whether template-based organisms exhibit evolutionary drift or corrective restoration. By mutating 10–50% of scars in both position and strength, we observe perfect correction in all cases: the final pattern returns to the original structure with correction index = 1.000. No evolutionary divergence is detected. We define the TIG-Resonance v1 organism as a “Crystalline Self”: perfectly robust, non-evolving, and dominated by a rigid attractor.</w:t>
      </w:r>
    </w:p>
    <w:p w14:paraId="46C7A9B2" w14:textId="77777777" w:rsidR="00BC11C3" w:rsidRPr="00BC11C3" w:rsidRDefault="00BC11C3" w:rsidP="00BC11C3">
      <w:r w:rsidRPr="00BC11C3">
        <w:rPr>
          <w:b/>
          <w:bCs/>
        </w:rPr>
        <w:t>Keywords:</w:t>
      </w:r>
      <w:r w:rsidRPr="00BC11C3">
        <w:t xml:space="preserve"> mutagenesis, attractors, perfect correction, rigid identity, memory inheritance</w:t>
      </w:r>
    </w:p>
    <w:p w14:paraId="74C5EC79" w14:textId="77777777" w:rsidR="00BC11C3" w:rsidRPr="00BC11C3" w:rsidRDefault="00BC11C3" w:rsidP="00BC11C3">
      <w:r w:rsidRPr="00BC11C3">
        <w:pict w14:anchorId="40FEF5C4">
          <v:rect id="_x0000_i1030" style="width:0;height:1.5pt" o:hralign="center" o:hrstd="t" o:hr="t" fillcolor="#a0a0a0" stroked="f"/>
        </w:pict>
      </w:r>
    </w:p>
    <w:p w14:paraId="680DE3DA" w14:textId="77777777" w:rsidR="00BC11C3" w:rsidRPr="00BC11C3" w:rsidRDefault="00BC11C3" w:rsidP="00BC11C3">
      <w:pPr>
        <w:rPr>
          <w:b/>
          <w:bCs/>
        </w:rPr>
      </w:pPr>
      <w:r w:rsidRPr="00BC11C3">
        <w:rPr>
          <w:b/>
          <w:bCs/>
        </w:rPr>
        <w:t>Paper 7 Abstract — Networks of Self-Healing Organisms</w:t>
      </w:r>
    </w:p>
    <w:p w14:paraId="77EB12CF" w14:textId="77777777" w:rsidR="00BC11C3" w:rsidRPr="00BC11C3" w:rsidRDefault="00BC11C3" w:rsidP="00BC11C3">
      <w:r w:rsidRPr="00BC11C3">
        <w:rPr>
          <w:b/>
          <w:bCs/>
        </w:rPr>
        <w:lastRenderedPageBreak/>
        <w:t>Abstract:</w:t>
      </w:r>
      <w:r w:rsidRPr="00BC11C3">
        <w:br/>
        <w:t xml:space="preserve">We investigate collective dynamics in networks of TIG-Resonance organisms. Small networks (N ≤ 4) achieve near-perfect synchronization (S ≥ 0.96), generating emergent coherence bonuses of ≈ +2.0 relative to individuals. Larger sparse networks synchronize partially, depending on topology and coupling strength. We demonstrate phase alignment, cross-healing, and group-level coherence enhancement. These results show that </w:t>
      </w:r>
      <w:proofErr w:type="gramStart"/>
      <w:r w:rsidRPr="00BC11C3">
        <w:t>proto-agency</w:t>
      </w:r>
      <w:proofErr w:type="gramEnd"/>
      <w:r w:rsidRPr="00BC11C3">
        <w:t xml:space="preserve"> arises from synchronization and coupling, not from individual adaptability.</w:t>
      </w:r>
    </w:p>
    <w:p w14:paraId="103D8FA1" w14:textId="77777777" w:rsidR="00BC11C3" w:rsidRPr="00BC11C3" w:rsidRDefault="00BC11C3" w:rsidP="00BC11C3">
      <w:r w:rsidRPr="00BC11C3">
        <w:rPr>
          <w:b/>
          <w:bCs/>
        </w:rPr>
        <w:t>Keywords:</w:t>
      </w:r>
      <w:r w:rsidRPr="00BC11C3">
        <w:t xml:space="preserve"> synchronization, collective emergence, network dynamics, phase-locking, proto-agency</w:t>
      </w:r>
    </w:p>
    <w:p w14:paraId="24BBD3DB" w14:textId="77777777" w:rsidR="00BC11C3" w:rsidRPr="00BC11C3" w:rsidRDefault="00BC11C3" w:rsidP="00BC11C3">
      <w:r w:rsidRPr="00BC11C3">
        <w:pict w14:anchorId="10274476">
          <v:rect id="_x0000_i1031" style="width:0;height:1.5pt" o:hralign="center" o:hrstd="t" o:hr="t" fillcolor="#a0a0a0" stroked="f"/>
        </w:pict>
      </w:r>
    </w:p>
    <w:p w14:paraId="54BB2D28" w14:textId="77777777" w:rsidR="00BC11C3" w:rsidRPr="00BC11C3" w:rsidRDefault="00BC11C3" w:rsidP="00BC11C3">
      <w:pPr>
        <w:rPr>
          <w:b/>
          <w:bCs/>
        </w:rPr>
      </w:pPr>
      <w:r w:rsidRPr="00BC11C3">
        <w:rPr>
          <w:b/>
          <w:bCs/>
        </w:rPr>
        <w:t>Paper 8 Abstract — Homeostatic Learning Without Structural Plasticity</w:t>
      </w:r>
    </w:p>
    <w:p w14:paraId="2BC04501" w14:textId="77777777" w:rsidR="00BC11C3" w:rsidRPr="00BC11C3" w:rsidRDefault="00BC11C3" w:rsidP="00BC11C3">
      <w:r w:rsidRPr="00BC11C3">
        <w:rPr>
          <w:b/>
          <w:bCs/>
        </w:rPr>
        <w:t>Abstract:</w:t>
      </w:r>
      <w:r w:rsidRPr="00BC11C3">
        <w:br/>
        <w:t>We test stimulus-driven adaptation through parameter modulation in noise level and memory strength. The organisms reliably adjust parameters to match target scar density (≈ +0.90 learning gain) but show weak coherence-target learning (≈ +0.03). Structural patterns remain rigid, while homeostatic parameters adapt. We conclude that TIG-Resonance v1 exhibits homeostatic learning but lacks structural plasticity, marking the boundary between robust identity and adaptive functionality.</w:t>
      </w:r>
    </w:p>
    <w:p w14:paraId="0A23F94E" w14:textId="77777777" w:rsidR="00BC11C3" w:rsidRPr="00BC11C3" w:rsidRDefault="00BC11C3" w:rsidP="00BC11C3">
      <w:r w:rsidRPr="00BC11C3">
        <w:rPr>
          <w:b/>
          <w:bCs/>
        </w:rPr>
        <w:t>Keywords:</w:t>
      </w:r>
      <w:r w:rsidRPr="00BC11C3">
        <w:t xml:space="preserve"> adaptation, homeostasis, parameter learning, structural rigidity, reward modulation</w:t>
      </w:r>
    </w:p>
    <w:p w14:paraId="32DFFB80"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F4"/>
    <w:rsid w:val="00503CB6"/>
    <w:rsid w:val="006E5068"/>
    <w:rsid w:val="008B5FCC"/>
    <w:rsid w:val="00BC11C3"/>
    <w:rsid w:val="00BF48F4"/>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CF16E3-5B80-46EB-A830-6D9DEF8B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8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8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8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8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8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8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8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8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8F4"/>
    <w:rPr>
      <w:rFonts w:eastAsiaTheme="majorEastAsia" w:cstheme="majorBidi"/>
      <w:color w:val="272727" w:themeColor="text1" w:themeTint="D8"/>
    </w:rPr>
  </w:style>
  <w:style w:type="paragraph" w:styleId="Title">
    <w:name w:val="Title"/>
    <w:basedOn w:val="Normal"/>
    <w:next w:val="Normal"/>
    <w:link w:val="TitleChar"/>
    <w:uiPriority w:val="10"/>
    <w:qFormat/>
    <w:rsid w:val="00BF4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8F4"/>
    <w:pPr>
      <w:spacing w:before="160"/>
      <w:jc w:val="center"/>
    </w:pPr>
    <w:rPr>
      <w:i/>
      <w:iCs/>
      <w:color w:val="404040" w:themeColor="text1" w:themeTint="BF"/>
    </w:rPr>
  </w:style>
  <w:style w:type="character" w:customStyle="1" w:styleId="QuoteChar">
    <w:name w:val="Quote Char"/>
    <w:basedOn w:val="DefaultParagraphFont"/>
    <w:link w:val="Quote"/>
    <w:uiPriority w:val="29"/>
    <w:rsid w:val="00BF48F4"/>
    <w:rPr>
      <w:i/>
      <w:iCs/>
      <w:color w:val="404040" w:themeColor="text1" w:themeTint="BF"/>
    </w:rPr>
  </w:style>
  <w:style w:type="paragraph" w:styleId="ListParagraph">
    <w:name w:val="List Paragraph"/>
    <w:basedOn w:val="Normal"/>
    <w:uiPriority w:val="34"/>
    <w:qFormat/>
    <w:rsid w:val="00BF48F4"/>
    <w:pPr>
      <w:ind w:left="720"/>
      <w:contextualSpacing/>
    </w:pPr>
  </w:style>
  <w:style w:type="character" w:styleId="IntenseEmphasis">
    <w:name w:val="Intense Emphasis"/>
    <w:basedOn w:val="DefaultParagraphFont"/>
    <w:uiPriority w:val="21"/>
    <w:qFormat/>
    <w:rsid w:val="00BF48F4"/>
    <w:rPr>
      <w:i/>
      <w:iCs/>
      <w:color w:val="0F4761" w:themeColor="accent1" w:themeShade="BF"/>
    </w:rPr>
  </w:style>
  <w:style w:type="paragraph" w:styleId="IntenseQuote">
    <w:name w:val="Intense Quote"/>
    <w:basedOn w:val="Normal"/>
    <w:next w:val="Normal"/>
    <w:link w:val="IntenseQuoteChar"/>
    <w:uiPriority w:val="30"/>
    <w:qFormat/>
    <w:rsid w:val="00BF4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8F4"/>
    <w:rPr>
      <w:i/>
      <w:iCs/>
      <w:color w:val="0F4761" w:themeColor="accent1" w:themeShade="BF"/>
    </w:rPr>
  </w:style>
  <w:style w:type="character" w:styleId="IntenseReference">
    <w:name w:val="Intense Reference"/>
    <w:basedOn w:val="DefaultParagraphFont"/>
    <w:uiPriority w:val="32"/>
    <w:qFormat/>
    <w:rsid w:val="00BF4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2026-01-26T23:29:00Z</dcterms:created>
  <dcterms:modified xsi:type="dcterms:W3CDTF">2026-01-26T23:31:00Z</dcterms:modified>
</cp:coreProperties>
</file>