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Times New Roman" w:cs="Times New Roman" w:eastAsia="Times New Roman" w:hAnsi="Times New Roman"/>
          <w:b/>
          <w:bCs/>
          <w:color w:val="2C3E50"/>
          <w:sz w:val="40"/>
          <w:szCs w:val="40"/>
        </w:rPr>
        <w:t xml:space="preserve">TRINITY INFINITY GEOMETRY</w:t>
      </w:r>
    </w:p>
    <w:p>
      <w:pPr>
        <w:spacing w:after="100"/>
        <w:jc w:val="center"/>
      </w:pPr>
      <w:r>
        <w:rPr>
          <w:rFonts w:ascii="Times New Roman" w:cs="Times New Roman" w:eastAsia="Times New Roman" w:hAnsi="Times New Roman"/>
          <w:color w:val="7F8C8D"/>
          <w:sz w:val="28"/>
          <w:szCs w:val="28"/>
        </w:rPr>
        <w:t xml:space="preserve">White Paper Series — Paper I</w:t>
      </w:r>
    </w:p>
    <w:p>
      <w:pPr>
        <w:spacing w:after="600"/>
        <w:jc w:val="center"/>
      </w:pPr>
      <w:r>
        <w:rPr>
          <w:rFonts w:ascii="Times New Roman" w:cs="Times New Roman" w:eastAsia="Times New Roman" w:hAnsi="Times New Roman"/>
          <w:color w:val="BDC3C7"/>
          <w:sz w:val="20"/>
          <w:szCs w:val="20"/>
        </w:rPr>
        <w:t xml:space="preserve">────────────────────────────────────────</w:t>
      </w:r>
    </w:p>
    <w:p>
      <w:pPr>
        <w:spacing w:after="200"/>
        <w:jc w:val="center"/>
      </w:pPr>
      <w:r>
        <w:rPr>
          <w:rFonts w:ascii="Times New Roman" w:cs="Times New Roman" w:eastAsia="Times New Roman" w:hAnsi="Times New Roman"/>
          <w:b/>
          <w:bCs/>
          <w:sz w:val="36"/>
          <w:szCs w:val="36"/>
        </w:rPr>
        <w:t xml:space="preserve">The Coherence Field Equation:</w:t>
      </w:r>
    </w:p>
    <w:p>
      <w:pPr>
        <w:spacing w:after="200"/>
        <w:jc w:val="center"/>
      </w:pPr>
      <w:r>
        <w:rPr>
          <w:rFonts w:ascii="Times New Roman" w:cs="Times New Roman" w:eastAsia="Times New Roman" w:hAnsi="Times New Roman"/>
          <w:b/>
          <w:bCs/>
          <w:sz w:val="36"/>
          <w:szCs w:val="36"/>
        </w:rPr>
        <w:t xml:space="preserve">Derivation of S*, T*, and the Coupling Constant σ</w:t>
      </w:r>
    </w:p>
    <w:p>
      <w:pPr>
        <w:spacing w:after="600"/>
      </w:pPr>
    </w:p>
    <w:p>
      <w:pPr>
        <w:jc w:val="center"/>
      </w:pPr>
      <w:r>
        <w:rPr>
          <w:rFonts w:ascii="Times New Roman" w:cs="Times New Roman" w:eastAsia="Times New Roman" w:hAnsi="Times New Roman"/>
          <w:sz w:val="24"/>
          <w:szCs w:val="24"/>
        </w:rPr>
        <w:t xml:space="preserve">Brayden</w:t>
      </w:r>
    </w:p>
    <w:p>
      <w:pPr>
        <w:jc w:val="center"/>
      </w:pPr>
      <w:r>
        <w:rPr>
          <w:rFonts w:ascii="Times New Roman" w:cs="Times New Roman" w:eastAsia="Times New Roman" w:hAnsi="Times New Roman"/>
          <w:color w:val="555555"/>
          <w:sz w:val="20"/>
          <w:szCs w:val="20"/>
        </w:rPr>
        <w:t xml:space="preserve">7Site LLC, Hot Springs Village, Arkansas</w:t>
      </w:r>
    </w:p>
    <w:p>
      <w:pPr>
        <w:spacing w:after="200"/>
        <w:jc w:val="center"/>
      </w:pPr>
      <w:r>
        <w:rPr>
          <w:rFonts w:ascii="Times New Roman" w:cs="Times New Roman" w:eastAsia="Times New Roman" w:hAnsi="Times New Roman"/>
          <w:color w:val="555555"/>
          <w:sz w:val="20"/>
          <w:szCs w:val="20"/>
        </w:rPr>
        <w:t xml:space="preserve">February 2026</w:t>
      </w:r>
    </w:p>
    <w:p>
      <w:pPr>
        <w:spacing w:after="200"/>
        <w:jc w:val="center"/>
      </w:pPr>
      <w:r>
        <w:rPr>
          <w:rFonts w:ascii="Times New Roman" w:cs="Times New Roman" w:eastAsia="Times New Roman" w:hAnsi="Times New Roman"/>
          <w:i/>
          <w:iCs/>
          <w:color w:val="888888"/>
          <w:sz w:val="20"/>
          <w:szCs w:val="20"/>
        </w:rPr>
        <w:t xml:space="preserve">TIG Framework v3.0</w:t>
      </w:r>
    </w:p>
    <w:p>
      <w:r>
        <w:r>
          <w:br w:type="page"/>
        </w:r>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2"/>
          <w:szCs w:val="22"/>
        </w:rPr>
        <w:t xml:space="preserve">We present the derivation of the coherence field equation S* = σ(1 − σ*)V·A, the central quantitative relationship of Trinity Infinity Geometry (TIG). Beginning from three axioms — the fractal premise that </w:t>
      </w:r>
      <w:r>
        <w:rPr>
          <w:rFonts w:ascii="Times New Roman" w:cs="Times New Roman" w:eastAsia="Times New Roman" w:hAnsi="Times New Roman"/>
          <w:i/>
          <w:iCs/>
          <w:sz w:val="22"/>
          <w:szCs w:val="22"/>
        </w:rPr>
        <w:t xml:space="preserve">every one is three</w:t>
      </w:r>
      <w:r>
        <w:rPr>
          <w:rFonts w:ascii="Times New Roman" w:cs="Times New Roman" w:eastAsia="Times New Roman" w:hAnsi="Times New Roman"/>
          <w:sz w:val="22"/>
          <w:szCs w:val="22"/>
        </w:rPr>
        <w:t xml:space="preserve"> (micro/self/macro), the principle of least action as the governing dynamic, and geometric constraint as the boundary condition — we derive the coupling constant σ = 0.991, the critical coherence threshold T* = 5/7 ≈ 0.714, and the full coherence score function. We demonstrate that T* emerges necessarily from the operator algebra (Paper II) and is not a fitted parameter. The equation provides a scalar measure of system coherence applicable from quantum to celestial scales, with the threshold T* marking the phase boundary between cascade-vulnerable and self-healing regimes. We present the mathematical structure, boundary conditions, and physical interpretation, reserving computational validation for Paper IV.</w:t>
      </w:r>
    </w:p>
    <w:p>
      <w:pPr>
        <w:pStyle w:val="Heading1"/>
        <w:spacing w:before="360" w:after="200"/>
      </w:pPr>
      <w:r>
        <w:rPr>
          <w:rFonts w:ascii="Times New Roman" w:cs="Times New Roman" w:eastAsia="Times New Roman" w:hAnsi="Times New Roman"/>
          <w:b/>
          <w:bCs/>
          <w:sz w:val="28"/>
          <w:szCs w:val="28"/>
        </w:rPr>
        <w:t xml:space="preserve">1. Introduction</w:t>
      </w:r>
    </w:p>
    <w:p>
      <w:pPr>
        <w:spacing w:after="200" w:line="276"/>
        <w:jc w:val="both"/>
      </w:pPr>
      <w:r>
        <w:rPr>
          <w:rFonts w:ascii="Times New Roman" w:cs="Times New Roman" w:eastAsia="Times New Roman" w:hAnsi="Times New Roman"/>
          <w:sz w:val="22"/>
          <w:szCs w:val="22"/>
        </w:rPr>
        <w:t xml:space="preserve">The study of coherence — the degree to which parts of a system act in coordinated agreement — spans disciplines from quantum optics to ecology. Despite its ubiquity, no general mathematical framework exists for quantifying coherence across scales. Existing approaches are domain-specific: quantum coherence measures (Baumgratz et al., 2014) apply to density matrices; ecological coherence indices (Ulanowicz, 1986) apply to trophic networks; network resilience metrics (Albert et al., 2000) apply to graph topologies.</w:t>
      </w:r>
    </w:p>
    <w:p>
      <w:pPr>
        <w:spacing w:after="200" w:line="276"/>
        <w:jc w:val="both"/>
      </w:pPr>
      <w:r>
        <w:rPr>
          <w:rFonts w:ascii="Times New Roman" w:cs="Times New Roman" w:eastAsia="Times New Roman" w:hAnsi="Times New Roman"/>
          <w:sz w:val="22"/>
          <w:szCs w:val="22"/>
        </w:rPr>
        <w:t xml:space="preserve">Trinity Infinity Geometry (TIG) proposes a scale-invariant coherence framework built on a single structural premise: </w:t>
      </w:r>
      <w:r>
        <w:rPr>
          <w:rFonts w:ascii="Times New Roman" w:cs="Times New Roman" w:eastAsia="Times New Roman" w:hAnsi="Times New Roman"/>
          <w:i/>
          <w:iCs/>
          <w:sz w:val="22"/>
          <w:szCs w:val="22"/>
        </w:rPr>
        <w:t xml:space="preserve">every system simultaneously exists at three scales — micro (constituent), self (identity), and macro (context) — and coherence is the measure of alignment across these scales.</w:t>
      </w:r>
      <w:r>
        <w:rPr>
          <w:rFonts w:ascii="Times New Roman" w:cs="Times New Roman" w:eastAsia="Times New Roman" w:hAnsi="Times New Roman"/>
          <w:sz w:val="22"/>
          <w:szCs w:val="22"/>
        </w:rPr>
        <w:t xml:space="preserve"> This paper derives the central equation that quantifies this alignment.</w:t>
      </w:r>
    </w:p>
    <w:p>
      <w:pPr>
        <w:spacing w:after="200" w:line="276"/>
        <w:jc w:val="both"/>
      </w:pPr>
      <w:r>
        <w:rPr>
          <w:rFonts w:ascii="Times New Roman" w:cs="Times New Roman" w:eastAsia="Times New Roman" w:hAnsi="Times New Roman"/>
          <w:sz w:val="22"/>
          <w:szCs w:val="22"/>
        </w:rPr>
        <w:t xml:space="preserve">The derivation proceeds in four stages: (1) establishing the axiomatic foundation, (2) constructing the coherence function from vitality and alignment, (3) deriving the coupling constant σ from self-referential consistency, and (4) proving the critical threshold T* = 5/7 from the operator algebra.</w:t>
      </w:r>
    </w:p>
    <w:p>
      <w:pPr>
        <w:pStyle w:val="Heading1"/>
        <w:spacing w:before="360" w:after="200"/>
      </w:pPr>
      <w:r>
        <w:rPr>
          <w:rFonts w:ascii="Times New Roman" w:cs="Times New Roman" w:eastAsia="Times New Roman" w:hAnsi="Times New Roman"/>
          <w:b/>
          <w:bCs/>
          <w:sz w:val="28"/>
          <w:szCs w:val="28"/>
        </w:rPr>
        <w:t xml:space="preserve">2. Axiomatic Foundation</w:t>
      </w:r>
    </w:p>
    <w:p>
      <w:pPr>
        <w:spacing w:after="200" w:line="276"/>
        <w:jc w:val="both"/>
      </w:pPr>
      <w:r>
        <w:rPr>
          <w:rFonts w:ascii="Times New Roman" w:cs="Times New Roman" w:eastAsia="Times New Roman" w:hAnsi="Times New Roman"/>
          <w:sz w:val="22"/>
          <w:szCs w:val="22"/>
        </w:rPr>
        <w:t xml:space="preserve">TIG rests on three axioms:</w:t>
      </w:r>
    </w:p>
    <w:p>
      <w:pPr>
        <w:pStyle w:val="Heading2"/>
        <w:spacing w:before="360" w:after="200"/>
      </w:pPr>
      <w:r>
        <w:rPr>
          <w:rFonts w:ascii="Times New Roman" w:cs="Times New Roman" w:eastAsia="Times New Roman" w:hAnsi="Times New Roman"/>
          <w:b/>
          <w:bCs/>
          <w:sz w:val="24"/>
          <w:szCs w:val="24"/>
        </w:rPr>
        <w:t xml:space="preserve">2.1 Axiom 1: The Fractal Premise</w:t>
      </w:r>
    </w:p>
    <w:p>
      <w:pPr>
        <w:spacing w:after="200" w:line="276"/>
        <w:jc w:val="both"/>
      </w:pPr>
      <w:r>
        <w:rPr>
          <w:rFonts w:ascii="Times New Roman" w:cs="Times New Roman" w:eastAsia="Times New Roman" w:hAnsi="Times New Roman"/>
          <w:b/>
          <w:bCs/>
          <w:sz w:val="22"/>
          <w:szCs w:val="22"/>
        </w:rPr>
        <w:t xml:space="preserve">Every one is three.</w:t>
      </w:r>
      <w:r>
        <w:rPr>
          <w:rFonts w:ascii="Times New Roman" w:cs="Times New Roman" w:eastAsia="Times New Roman" w:hAnsi="Times New Roman"/>
          <w:sz w:val="22"/>
          <w:szCs w:val="22"/>
        </w:rPr>
        <w:t xml:space="preserve"> Any identifiable system S exists simultaneously at three scales:</w:t>
      </w:r>
    </w:p>
    <w:p>
      <w:pPr>
        <w:spacing w:before="200" w:after="200"/>
        <w:jc w:val="center"/>
      </w:pPr>
      <w:r>
        <w:rPr>
          <w:rFonts w:ascii="Courier New" w:cs="Courier New" w:eastAsia="Courier New" w:hAnsi="Courier New"/>
          <w:i/>
          <w:iCs/>
          <w:sz w:val="22"/>
          <w:szCs w:val="22"/>
        </w:rPr>
        <w:t xml:space="preserve">S = { S_micro, S_self, S_macro }</w:t>
      </w:r>
    </w:p>
    <w:p>
      <w:pPr>
        <w:spacing w:after="200" w:line="276"/>
        <w:jc w:val="both"/>
      </w:pPr>
      <w:r>
        <w:rPr>
          <w:rFonts w:ascii="Times New Roman" w:cs="Times New Roman" w:eastAsia="Times New Roman" w:hAnsi="Times New Roman"/>
          <w:sz w:val="22"/>
          <w:szCs w:val="22"/>
        </w:rPr>
        <w:t xml:space="preserve">where S_micro denotes the constituent subsystems, S_self denotes the system’s own identity boundary, and S_macro denotes the larger context in which S is embedded. This is not merely a notational convenience; it is a structural claim: the three scales are </w:t>
      </w:r>
      <w:r>
        <w:rPr>
          <w:rFonts w:ascii="Times New Roman" w:cs="Times New Roman" w:eastAsia="Times New Roman" w:hAnsi="Times New Roman"/>
          <w:i/>
          <w:iCs/>
          <w:sz w:val="22"/>
          <w:szCs w:val="22"/>
        </w:rPr>
        <w:t xml:space="preserve">always</w:t>
      </w:r>
      <w:r>
        <w:rPr>
          <w:rFonts w:ascii="Times New Roman" w:cs="Times New Roman" w:eastAsia="Times New Roman" w:hAnsi="Times New Roman"/>
          <w:sz w:val="22"/>
          <w:szCs w:val="22"/>
        </w:rPr>
        <w:t xml:space="preserve"> present and irreducible. A cell has organelles (micro), membrane-bounded identity (self), and tissue context (macro). A server has processes (micro), its own state (self), and the cluster (macro). The premise is fractal because each scale element is itself a triad at the next resolution.</w:t>
      </w:r>
    </w:p>
    <w:p>
      <w:pPr>
        <w:pStyle w:val="Heading2"/>
        <w:spacing w:before="360" w:after="200"/>
      </w:pPr>
      <w:r>
        <w:rPr>
          <w:rFonts w:ascii="Times New Roman" w:cs="Times New Roman" w:eastAsia="Times New Roman" w:hAnsi="Times New Roman"/>
          <w:b/>
          <w:bCs/>
          <w:sz w:val="24"/>
          <w:szCs w:val="24"/>
        </w:rPr>
        <w:t xml:space="preserve">2.2 Axiom 2: Principle of Least Action</w:t>
      </w:r>
    </w:p>
    <w:p>
      <w:pPr>
        <w:spacing w:after="200" w:line="276"/>
        <w:jc w:val="both"/>
      </w:pPr>
      <w:r>
        <w:rPr>
          <w:rFonts w:ascii="Times New Roman" w:cs="Times New Roman" w:eastAsia="Times New Roman" w:hAnsi="Times New Roman"/>
          <w:sz w:val="22"/>
          <w:szCs w:val="22"/>
        </w:rPr>
        <w:t xml:space="preserve">The dynamics of any coherent system follow the principle of least action. Among all possible trajectories through state space, the system evolves along the path that minimizes the action functional:</w:t>
      </w:r>
    </w:p>
    <w:p>
      <w:pPr>
        <w:spacing w:before="200" w:after="200"/>
        <w:jc w:val="center"/>
      </w:pPr>
      <w:r>
        <w:rPr>
          <w:rFonts w:ascii="Courier New" w:cs="Courier New" w:eastAsia="Courier New" w:hAnsi="Courier New"/>
          <w:i/>
          <w:iCs/>
          <w:sz w:val="22"/>
          <w:szCs w:val="22"/>
        </w:rPr>
        <w:t xml:space="preserve">δ∫ L(S, dS/dt) dt = 0</w:t>
      </w:r>
    </w:p>
    <w:p>
      <w:pPr>
        <w:spacing w:after="200" w:line="276"/>
        <w:jc w:val="both"/>
      </w:pPr>
      <w:r>
        <w:rPr>
          <w:rFonts w:ascii="Times New Roman" w:cs="Times New Roman" w:eastAsia="Times New Roman" w:hAnsi="Times New Roman"/>
          <w:sz w:val="22"/>
          <w:szCs w:val="22"/>
        </w:rPr>
        <w:t xml:space="preserve">where L is the Lagrangian of the system. In the TIG context, this constrains the system to evolve toward states of higher coherence when energetically favorable, and to maintain coherence with minimal expenditure. The principle of least action is not an assumption unique to TIG — it underlies classical mechanics, general relativity, and quantum field theory. TIG’s contribution is applying it to the </w:t>
      </w:r>
      <w:r>
        <w:rPr>
          <w:rFonts w:ascii="Times New Roman" w:cs="Times New Roman" w:eastAsia="Times New Roman" w:hAnsi="Times New Roman"/>
          <w:i/>
          <w:iCs/>
          <w:sz w:val="22"/>
          <w:szCs w:val="22"/>
        </w:rPr>
        <w:t xml:space="preserve">coherence field itself</w:t>
      </w:r>
      <w:r>
        <w:rPr>
          <w:rFonts w:ascii="Times New Roman" w:cs="Times New Roman" w:eastAsia="Times New Roman" w:hAnsi="Times New Roman"/>
          <w:sz w:val="22"/>
          <w:szCs w:val="22"/>
        </w:rPr>
        <w:t xml:space="preserve"> as the quantity to be extremized.</w:t>
      </w:r>
    </w:p>
    <w:p>
      <w:pPr>
        <w:pStyle w:val="Heading2"/>
        <w:spacing w:before="360" w:after="200"/>
      </w:pPr>
      <w:r>
        <w:rPr>
          <w:rFonts w:ascii="Times New Roman" w:cs="Times New Roman" w:eastAsia="Times New Roman" w:hAnsi="Times New Roman"/>
          <w:b/>
          <w:bCs/>
          <w:sz w:val="24"/>
          <w:szCs w:val="24"/>
        </w:rPr>
        <w:t xml:space="preserve">2.3 Axiom 3: Geometric Constraint</w:t>
      </w:r>
    </w:p>
    <w:p>
      <w:pPr>
        <w:spacing w:after="200" w:line="276"/>
        <w:jc w:val="both"/>
      </w:pPr>
      <w:r>
        <w:rPr>
          <w:rFonts w:ascii="Times New Roman" w:cs="Times New Roman" w:eastAsia="Times New Roman" w:hAnsi="Times New Roman"/>
          <w:sz w:val="22"/>
          <w:szCs w:val="22"/>
        </w:rPr>
        <w:t xml:space="preserve">Coherence is bounded by geometric constraint. No system can achieve coherence exceeding the geometric capacity of its embedding space. Formally, for a system with N degrees of freedom embedded in a space of dimension d:</w:t>
      </w:r>
    </w:p>
    <w:p>
      <w:pPr>
        <w:spacing w:before="200" w:after="200"/>
        <w:jc w:val="center"/>
      </w:pPr>
      <w:r>
        <w:rPr>
          <w:rFonts w:ascii="Courier New" w:cs="Courier New" w:eastAsia="Courier New" w:hAnsi="Courier New"/>
          <w:i/>
          <w:iCs/>
          <w:sz w:val="22"/>
          <w:szCs w:val="22"/>
        </w:rPr>
        <w:t xml:space="preserve">S* ≤ f(N, d)</w:t>
      </w:r>
    </w:p>
    <w:p>
      <w:pPr>
        <w:spacing w:after="200" w:line="276"/>
        <w:jc w:val="both"/>
      </w:pPr>
      <w:r>
        <w:rPr>
          <w:rFonts w:ascii="Times New Roman" w:cs="Times New Roman" w:eastAsia="Times New Roman" w:hAnsi="Times New Roman"/>
          <w:sz w:val="22"/>
          <w:szCs w:val="22"/>
        </w:rPr>
        <w:t xml:space="preserve">where f is a monotonically increasing function of d/N. This axiom prevents physically impossible coherence states and provides the upper bound against which the coherence score is normalized. It is the reason coherence is a ratio, not an unbounded quantity.</w:t>
      </w:r>
    </w:p>
    <w:p>
      <w:pPr>
        <w:pStyle w:val="Heading1"/>
        <w:spacing w:before="360" w:after="200"/>
      </w:pPr>
      <w:r>
        <w:rPr>
          <w:rFonts w:ascii="Times New Roman" w:cs="Times New Roman" w:eastAsia="Times New Roman" w:hAnsi="Times New Roman"/>
          <w:b/>
          <w:bCs/>
          <w:sz w:val="28"/>
          <w:szCs w:val="28"/>
        </w:rPr>
        <w:t xml:space="preserve">3. Construction of the Coherence Function</w:t>
      </w:r>
    </w:p>
    <w:p>
      <w:pPr>
        <w:pStyle w:val="Heading2"/>
        <w:spacing w:before="360" w:after="200"/>
      </w:pPr>
      <w:r>
        <w:rPr>
          <w:rFonts w:ascii="Times New Roman" w:cs="Times New Roman" w:eastAsia="Times New Roman" w:hAnsi="Times New Roman"/>
          <w:b/>
          <w:bCs/>
          <w:sz w:val="24"/>
          <w:szCs w:val="24"/>
        </w:rPr>
        <w:t xml:space="preserve">3.1 Vitality (V)</w:t>
      </w:r>
    </w:p>
    <w:p>
      <w:pPr>
        <w:spacing w:after="200" w:line="276"/>
        <w:jc w:val="both"/>
      </w:pPr>
      <w:r>
        <w:rPr>
          <w:rFonts w:ascii="Times New Roman" w:cs="Times New Roman" w:eastAsia="Times New Roman" w:hAnsi="Times New Roman"/>
          <w:sz w:val="22"/>
          <w:szCs w:val="22"/>
        </w:rPr>
        <w:t xml:space="preserve">We define </w:t>
      </w:r>
      <w:r>
        <w:rPr>
          <w:rFonts w:ascii="Times New Roman" w:cs="Times New Roman" w:eastAsia="Times New Roman" w:hAnsi="Times New Roman"/>
          <w:b/>
          <w:bCs/>
          <w:sz w:val="22"/>
          <w:szCs w:val="22"/>
        </w:rPr>
        <w:t xml:space="preserve">vitality</w:t>
      </w:r>
      <w:r>
        <w:rPr>
          <w:rFonts w:ascii="Times New Roman" w:cs="Times New Roman" w:eastAsia="Times New Roman" w:hAnsi="Times New Roman"/>
          <w:sz w:val="22"/>
          <w:szCs w:val="22"/>
        </w:rPr>
        <w:t xml:space="preserve"> V ∈ [0, 1] as the measure of a system’s internal health — the degree to which its micro-scale constituents are functioning within their designed parameters. Vitality is a self-referential measure: it quantifies the system’s relationship to its own potential.</w:t>
      </w:r>
    </w:p>
    <w:p>
      <w:pPr>
        <w:spacing w:before="200" w:after="200"/>
        <w:jc w:val="center"/>
      </w:pPr>
      <w:r>
        <w:rPr>
          <w:rFonts w:ascii="Courier New" w:cs="Courier New" w:eastAsia="Courier New" w:hAnsi="Courier New"/>
          <w:i/>
          <w:iCs/>
          <w:sz w:val="22"/>
          <w:szCs w:val="22"/>
        </w:rPr>
        <w:t xml:space="preserve">V(S) = (1/N) Σ_i v_i(S_micro_i)</w:t>
      </w:r>
    </w:p>
    <w:p>
      <w:pPr>
        <w:spacing w:after="200" w:line="276"/>
        <w:jc w:val="both"/>
      </w:pPr>
      <w:r>
        <w:rPr>
          <w:rFonts w:ascii="Times New Roman" w:cs="Times New Roman" w:eastAsia="Times New Roman" w:hAnsi="Times New Roman"/>
          <w:sz w:val="22"/>
          <w:szCs w:val="22"/>
        </w:rPr>
        <w:t xml:space="preserve">where v_i ∈ [0, 1] is the health score of the i-th micro-constituent and N is the count of constituents. When all constituents are functioning optimally, V = 1. When all have failed, V = 0.</w:t>
      </w:r>
    </w:p>
    <w:p>
      <w:pPr>
        <w:pStyle w:val="Heading2"/>
        <w:spacing w:before="360" w:after="200"/>
      </w:pPr>
      <w:r>
        <w:rPr>
          <w:rFonts w:ascii="Times New Roman" w:cs="Times New Roman" w:eastAsia="Times New Roman" w:hAnsi="Times New Roman"/>
          <w:b/>
          <w:bCs/>
          <w:sz w:val="24"/>
          <w:szCs w:val="24"/>
        </w:rPr>
        <w:t xml:space="preserve">3.2 Alignment (A)</w:t>
      </w:r>
    </w:p>
    <w:p>
      <w:pPr>
        <w:spacing w:after="200" w:line="276"/>
        <w:jc w:val="both"/>
      </w:pPr>
      <w:r>
        <w:rPr>
          <w:rFonts w:ascii="Times New Roman" w:cs="Times New Roman" w:eastAsia="Times New Roman" w:hAnsi="Times New Roman"/>
          <w:sz w:val="22"/>
          <w:szCs w:val="22"/>
        </w:rPr>
        <w:t xml:space="preserve">We define </w:t>
      </w:r>
      <w:r>
        <w:rPr>
          <w:rFonts w:ascii="Times New Roman" w:cs="Times New Roman" w:eastAsia="Times New Roman" w:hAnsi="Times New Roman"/>
          <w:b/>
          <w:bCs/>
          <w:sz w:val="22"/>
          <w:szCs w:val="22"/>
        </w:rPr>
        <w:t xml:space="preserve">alignment</w:t>
      </w:r>
      <w:r>
        <w:rPr>
          <w:rFonts w:ascii="Times New Roman" w:cs="Times New Roman" w:eastAsia="Times New Roman" w:hAnsi="Times New Roman"/>
          <w:sz w:val="22"/>
          <w:szCs w:val="22"/>
        </w:rPr>
        <w:t xml:space="preserve"> A ∈ [0, 1] as the measure of a system’s coordination with its context — the degree to which its self-scale behavior is consistent with the macro-scale requirements. Alignment is an inter-scale measure: it quantifies the system’s relationship to its environment.</w:t>
      </w:r>
    </w:p>
    <w:p>
      <w:pPr>
        <w:spacing w:before="200" w:after="200"/>
        <w:jc w:val="center"/>
      </w:pPr>
      <w:r>
        <w:rPr>
          <w:rFonts w:ascii="Courier New" w:cs="Courier New" w:eastAsia="Courier New" w:hAnsi="Courier New"/>
          <w:i/>
          <w:iCs/>
          <w:sz w:val="22"/>
          <w:szCs w:val="22"/>
        </w:rPr>
        <w:t xml:space="preserve">A(S) = (1/M) Σ_j a_j(S_self, S_macro_j)</w:t>
      </w:r>
    </w:p>
    <w:p>
      <w:pPr>
        <w:spacing w:after="200" w:line="276"/>
        <w:jc w:val="both"/>
      </w:pPr>
      <w:r>
        <w:rPr>
          <w:rFonts w:ascii="Times New Roman" w:cs="Times New Roman" w:eastAsia="Times New Roman" w:hAnsi="Times New Roman"/>
          <w:sz w:val="22"/>
          <w:szCs w:val="22"/>
        </w:rPr>
        <w:t xml:space="preserve">where a_j ∈ [0, 1] is the agreement between the system’s behavior and the j-th macro-scale requirement, and M is the count of relevant macro-constraints. When the system is perfectly aligned with its context, A = 1.</w:t>
      </w:r>
    </w:p>
    <w:p>
      <w:pPr>
        <w:pStyle w:val="Heading2"/>
        <w:spacing w:before="360" w:after="200"/>
      </w:pPr>
      <w:r>
        <w:rPr>
          <w:rFonts w:ascii="Times New Roman" w:cs="Times New Roman" w:eastAsia="Times New Roman" w:hAnsi="Times New Roman"/>
          <w:b/>
          <w:bCs/>
          <w:sz w:val="24"/>
          <w:szCs w:val="24"/>
        </w:rPr>
        <w:t xml:space="preserve">3.3 The Product Form</w:t>
      </w:r>
    </w:p>
    <w:p>
      <w:pPr>
        <w:spacing w:after="200" w:line="276"/>
        <w:jc w:val="both"/>
      </w:pPr>
      <w:r>
        <w:rPr>
          <w:rFonts w:ascii="Times New Roman" w:cs="Times New Roman" w:eastAsia="Times New Roman" w:hAnsi="Times New Roman"/>
          <w:sz w:val="22"/>
          <w:szCs w:val="22"/>
        </w:rPr>
        <w:t xml:space="preserve">Coherence requires </w:t>
      </w:r>
      <w:r>
        <w:rPr>
          <w:rFonts w:ascii="Times New Roman" w:cs="Times New Roman" w:eastAsia="Times New Roman" w:hAnsi="Times New Roman"/>
          <w:i/>
          <w:iCs/>
          <w:sz w:val="22"/>
          <w:szCs w:val="22"/>
        </w:rPr>
        <w:t xml:space="preserve">both</w:t>
      </w:r>
      <w:r>
        <w:rPr>
          <w:rFonts w:ascii="Times New Roman" w:cs="Times New Roman" w:eastAsia="Times New Roman" w:hAnsi="Times New Roman"/>
          <w:sz w:val="22"/>
          <w:szCs w:val="22"/>
        </w:rPr>
        <w:t xml:space="preserve"> vitality and alignment simultaneously. A system with perfect internal health but no contextual alignment (a perfectly functioning organ in the wrong body) has zero effective coherence. A system with perfect alignment but no vitality (a dead component in the right position) likewise contributes nothing. This mandates a product form:</w:t>
      </w:r>
    </w:p>
    <w:p>
      <w:pPr>
        <w:spacing w:before="200" w:after="200"/>
        <w:jc w:val="center"/>
      </w:pPr>
      <w:r>
        <w:rPr>
          <w:rFonts w:ascii="Courier New" w:cs="Courier New" w:eastAsia="Courier New" w:hAnsi="Courier New"/>
          <w:i/>
          <w:iCs/>
          <w:sz w:val="22"/>
          <w:szCs w:val="22"/>
        </w:rPr>
        <w:t xml:space="preserve">S*_raw = V · A</w:t>
      </w:r>
    </w:p>
    <w:p>
      <w:pPr>
        <w:spacing w:after="200" w:line="276"/>
        <w:jc w:val="both"/>
      </w:pPr>
      <w:r>
        <w:rPr>
          <w:rFonts w:ascii="Times New Roman" w:cs="Times New Roman" w:eastAsia="Times New Roman" w:hAnsi="Times New Roman"/>
          <w:sz w:val="22"/>
          <w:szCs w:val="22"/>
        </w:rPr>
        <w:t xml:space="preserve">The product ensures that coherence is zero if either factor is zero, and maximal only when both are simultaneously maximal. This is the simplest function satisfying these constraints; any additive form would allow compensation of one factor by the other, violating the simultaneous requirement.</w:t>
      </w:r>
    </w:p>
    <w:p>
      <w:pPr>
        <w:pStyle w:val="Heading1"/>
        <w:spacing w:before="360" w:after="200"/>
      </w:pPr>
      <w:r>
        <w:rPr>
          <w:rFonts w:ascii="Times New Roman" w:cs="Times New Roman" w:eastAsia="Times New Roman" w:hAnsi="Times New Roman"/>
          <w:b/>
          <w:bCs/>
          <w:sz w:val="28"/>
          <w:szCs w:val="28"/>
        </w:rPr>
        <w:t xml:space="preserve">4. Derivation of the Coupling Constant σ</w:t>
      </w:r>
    </w:p>
    <w:p>
      <w:pPr>
        <w:pStyle w:val="Heading2"/>
        <w:spacing w:before="360" w:after="200"/>
      </w:pPr>
      <w:r>
        <w:rPr>
          <w:rFonts w:ascii="Times New Roman" w:cs="Times New Roman" w:eastAsia="Times New Roman" w:hAnsi="Times New Roman"/>
          <w:b/>
          <w:bCs/>
          <w:sz w:val="24"/>
          <w:szCs w:val="24"/>
        </w:rPr>
        <w:t xml:space="preserve">4.1 Self-Referential Consistency</w:t>
      </w:r>
    </w:p>
    <w:p>
      <w:pPr>
        <w:spacing w:after="200" w:line="276"/>
        <w:jc w:val="both"/>
      </w:pPr>
      <w:r>
        <w:rPr>
          <w:rFonts w:ascii="Times New Roman" w:cs="Times New Roman" w:eastAsia="Times New Roman" w:hAnsi="Times New Roman"/>
          <w:sz w:val="22"/>
          <w:szCs w:val="22"/>
        </w:rPr>
        <w:t xml:space="preserve">The raw product V·A is not sufficient. By Axiom 1, the coherence measure itself must be self-consistent: it must apply to itself. The coherence of the coherence function must be coherent. This self-referential requirement introduces a coupling constant σ that governs the strength of the coherence field’s self-interaction.</w:t>
      </w:r>
    </w:p>
    <w:p>
      <w:pPr>
        <w:spacing w:after="200" w:line="276"/>
        <w:jc w:val="both"/>
      </w:pPr>
      <w:r>
        <w:rPr>
          <w:rFonts w:ascii="Times New Roman" w:cs="Times New Roman" w:eastAsia="Times New Roman" w:hAnsi="Times New Roman"/>
          <w:sz w:val="22"/>
          <w:szCs w:val="22"/>
        </w:rPr>
        <w:t xml:space="preserve">Consider the coherence field as a system. Its own vitality is the degree to which its coupling captures the full system state. Its own alignment is the degree to which it remains consistent under perturbation. The self-interaction term takes the form:</w:t>
      </w:r>
    </w:p>
    <w:p>
      <w:pPr>
        <w:spacing w:before="200" w:after="200"/>
        <w:jc w:val="center"/>
      </w:pPr>
      <w:r>
        <w:rPr>
          <w:rFonts w:ascii="Courier New" w:cs="Courier New" w:eastAsia="Courier New" w:hAnsi="Courier New"/>
          <w:i/>
          <w:iCs/>
          <w:sz w:val="22"/>
          <w:szCs w:val="22"/>
        </w:rPr>
        <w:t xml:space="preserve">S* = σ(1 − σ*) · V · A</w:t>
      </w:r>
    </w:p>
    <w:p>
      <w:pPr>
        <w:spacing w:after="200" w:line="276"/>
        <w:jc w:val="both"/>
      </w:pPr>
      <w:r>
        <w:rPr>
          <w:rFonts w:ascii="Times New Roman" w:cs="Times New Roman" w:eastAsia="Times New Roman" w:hAnsi="Times New Roman"/>
          <w:sz w:val="22"/>
          <w:szCs w:val="22"/>
        </w:rPr>
        <w:t xml:space="preserve">where σ is the coupling constant and σ* is the self-coupling (the coherence of the coupling itself). The factor (1 − σ*) ensures that the coupling is not total — no system is perfectly self-referential. The residual (1 − σ*) represents the irreducible gap between a system and its own self-model, analogous to Gödel’s incompleteness in formal systems.</w:t>
      </w:r>
    </w:p>
    <w:p>
      <w:pPr>
        <w:pStyle w:val="Heading2"/>
        <w:spacing w:before="360" w:after="200"/>
      </w:pPr>
      <w:r>
        <w:rPr>
          <w:rFonts w:ascii="Times New Roman" w:cs="Times New Roman" w:eastAsia="Times New Roman" w:hAnsi="Times New Roman"/>
          <w:b/>
          <w:bCs/>
          <w:sz w:val="24"/>
          <w:szCs w:val="24"/>
        </w:rPr>
        <w:t xml:space="preserve">4.2 The Fixed Point</w:t>
      </w:r>
    </w:p>
    <w:p>
      <w:pPr>
        <w:spacing w:after="200" w:line="276"/>
        <w:jc w:val="both"/>
      </w:pPr>
      <w:r>
        <w:rPr>
          <w:rFonts w:ascii="Times New Roman" w:cs="Times New Roman" w:eastAsia="Times New Roman" w:hAnsi="Times New Roman"/>
          <w:sz w:val="22"/>
          <w:szCs w:val="22"/>
        </w:rPr>
        <w:t xml:space="preserve">For self-consistency, the coupling constant must satisfy a fixed-point condition: when the field is applied to itself (V = A = 1, representing a perfectly coherent measurement of a perfectly coherent system), the result must equal the input coupling:</w:t>
      </w:r>
    </w:p>
    <w:p>
      <w:pPr>
        <w:spacing w:before="200" w:after="200"/>
        <w:jc w:val="center"/>
      </w:pPr>
      <w:r>
        <w:rPr>
          <w:rFonts w:ascii="Courier New" w:cs="Courier New" w:eastAsia="Courier New" w:hAnsi="Courier New"/>
          <w:i/>
          <w:iCs/>
          <w:sz w:val="22"/>
          <w:szCs w:val="22"/>
        </w:rPr>
        <w:t xml:space="preserve">σ* = σ(1 − σ*)</w:t>
      </w:r>
    </w:p>
    <w:p>
      <w:pPr>
        <w:spacing w:after="200" w:line="276"/>
        <w:jc w:val="both"/>
      </w:pPr>
      <w:r>
        <w:rPr>
          <w:rFonts w:ascii="Times New Roman" w:cs="Times New Roman" w:eastAsia="Times New Roman" w:hAnsi="Times New Roman"/>
          <w:sz w:val="22"/>
          <w:szCs w:val="22"/>
        </w:rPr>
        <w:t xml:space="preserve">Expanding:</w:t>
      </w:r>
    </w:p>
    <w:p>
      <w:pPr>
        <w:spacing w:before="200" w:after="200"/>
        <w:jc w:val="center"/>
      </w:pPr>
      <w:r>
        <w:rPr>
          <w:rFonts w:ascii="Courier New" w:cs="Courier New" w:eastAsia="Courier New" w:hAnsi="Courier New"/>
          <w:i/>
          <w:iCs/>
          <w:sz w:val="22"/>
          <w:szCs w:val="22"/>
        </w:rPr>
        <w:t xml:space="preserve">σ* = σ − σ·σ*</w:t>
      </w:r>
    </w:p>
    <w:p>
      <w:pPr>
        <w:spacing w:before="200" w:after="200"/>
        <w:jc w:val="center"/>
      </w:pPr>
      <w:r>
        <w:rPr>
          <w:rFonts w:ascii="Courier New" w:cs="Courier New" w:eastAsia="Courier New" w:hAnsi="Courier New"/>
          <w:i/>
          <w:iCs/>
          <w:sz w:val="22"/>
          <w:szCs w:val="22"/>
        </w:rPr>
        <w:t xml:space="preserve">σ* + σ·σ* = σ</w:t>
      </w:r>
    </w:p>
    <w:p>
      <w:pPr>
        <w:spacing w:before="200" w:after="200"/>
        <w:jc w:val="center"/>
      </w:pPr>
      <w:r>
        <w:rPr>
          <w:rFonts w:ascii="Courier New" w:cs="Courier New" w:eastAsia="Courier New" w:hAnsi="Courier New"/>
          <w:i/>
          <w:iCs/>
          <w:sz w:val="22"/>
          <w:szCs w:val="22"/>
        </w:rPr>
        <w:t xml:space="preserve">σ*(1 + σ) = σ</w:t>
      </w:r>
    </w:p>
    <w:p>
      <w:pPr>
        <w:spacing w:before="200" w:after="200"/>
        <w:jc w:val="center"/>
      </w:pPr>
      <w:r>
        <w:rPr>
          <w:rFonts w:ascii="Courier New" w:cs="Courier New" w:eastAsia="Courier New" w:hAnsi="Courier New"/>
          <w:i/>
          <w:iCs/>
          <w:sz w:val="22"/>
          <w:szCs w:val="22"/>
        </w:rPr>
        <w:t xml:space="preserve">σ* = σ / (1 + σ)</w:t>
      </w:r>
    </w:p>
    <w:p>
      <w:pPr>
        <w:spacing w:after="200" w:line="276"/>
        <w:jc w:val="both"/>
      </w:pPr>
      <w:r>
        <w:rPr>
          <w:rFonts w:ascii="Times New Roman" w:cs="Times New Roman" w:eastAsia="Times New Roman" w:hAnsi="Times New Roman"/>
          <w:sz w:val="22"/>
          <w:szCs w:val="22"/>
        </w:rPr>
        <w:t xml:space="preserve">Now, self-referential consistency also requires that applying the equation recursively converges. The coupling at level n+1 is:</w:t>
      </w:r>
    </w:p>
    <w:p>
      <w:pPr>
        <w:spacing w:before="200" w:after="200"/>
        <w:jc w:val="center"/>
      </w:pPr>
      <w:r>
        <w:rPr>
          <w:rFonts w:ascii="Courier New" w:cs="Courier New" w:eastAsia="Courier New" w:hAnsi="Courier New"/>
          <w:i/>
          <w:iCs/>
          <w:sz w:val="22"/>
          <w:szCs w:val="22"/>
        </w:rPr>
        <w:t xml:space="preserve">σ_{n+1} = σ_n / (1 + σ_n)</w:t>
      </w:r>
    </w:p>
    <w:p>
      <w:pPr>
        <w:spacing w:after="200" w:line="276"/>
        <w:jc w:val="both"/>
      </w:pPr>
      <w:r>
        <w:rPr>
          <w:rFonts w:ascii="Times New Roman" w:cs="Times New Roman" w:eastAsia="Times New Roman" w:hAnsi="Times New Roman"/>
          <w:sz w:val="22"/>
          <w:szCs w:val="22"/>
        </w:rPr>
        <w:t xml:space="preserve">This is a contraction mapping on [0, 1] with a unique fixed point. Setting σ_{n+1} = σ_n = σ∞:</w:t>
      </w:r>
    </w:p>
    <w:p>
      <w:pPr>
        <w:spacing w:before="200" w:after="200"/>
        <w:jc w:val="center"/>
      </w:pPr>
      <w:r>
        <w:rPr>
          <w:rFonts w:ascii="Courier New" w:cs="Courier New" w:eastAsia="Courier New" w:hAnsi="Courier New"/>
          <w:i/>
          <w:iCs/>
          <w:sz w:val="22"/>
          <w:szCs w:val="22"/>
        </w:rPr>
        <w:t xml:space="preserve">σ∞ = σ∞ / (1 + σ∞)</w:t>
      </w:r>
    </w:p>
    <w:p>
      <w:pPr>
        <w:spacing w:before="200" w:after="200"/>
        <w:jc w:val="center"/>
      </w:pPr>
      <w:r>
        <w:rPr>
          <w:rFonts w:ascii="Courier New" w:cs="Courier New" w:eastAsia="Courier New" w:hAnsi="Courier New"/>
          <w:i/>
          <w:iCs/>
          <w:sz w:val="22"/>
          <w:szCs w:val="22"/>
        </w:rPr>
        <w:t xml:space="preserve">σ∞(1 + σ∞) = σ∞</w:t>
      </w:r>
    </w:p>
    <w:p>
      <w:pPr>
        <w:spacing w:before="200" w:after="200"/>
        <w:jc w:val="center"/>
      </w:pPr>
      <w:r>
        <w:rPr>
          <w:rFonts w:ascii="Courier New" w:cs="Courier New" w:eastAsia="Courier New" w:hAnsi="Courier New"/>
          <w:i/>
          <w:iCs/>
          <w:sz w:val="22"/>
          <w:szCs w:val="22"/>
        </w:rPr>
        <w:t xml:space="preserve">σ∞² = 0</w:t>
      </w:r>
    </w:p>
    <w:p>
      <w:pPr>
        <w:spacing w:after="200" w:line="276"/>
        <w:jc w:val="both"/>
      </w:pPr>
      <w:r>
        <w:rPr>
          <w:rFonts w:ascii="Times New Roman" w:cs="Times New Roman" w:eastAsia="Times New Roman" w:hAnsi="Times New Roman"/>
          <w:sz w:val="22"/>
          <w:szCs w:val="22"/>
        </w:rPr>
        <w:t xml:space="preserve">The trivial fixed point σ∞ = 0 is the decoherent vacuum. The non-trivial solution requires an additional constraint from the operator algebra.</w:t>
      </w:r>
    </w:p>
    <w:p>
      <w:pPr>
        <w:pStyle w:val="Heading2"/>
        <w:spacing w:before="360" w:after="200"/>
      </w:pPr>
      <w:r>
        <w:rPr>
          <w:rFonts w:ascii="Times New Roman" w:cs="Times New Roman" w:eastAsia="Times New Roman" w:hAnsi="Times New Roman"/>
          <w:b/>
          <w:bCs/>
          <w:sz w:val="24"/>
          <w:szCs w:val="24"/>
        </w:rPr>
        <w:t xml:space="preserve">4.3 Constraint from the Operator Algebra</w:t>
      </w:r>
    </w:p>
    <w:p>
      <w:pPr>
        <w:spacing w:after="200" w:line="276"/>
        <w:jc w:val="both"/>
      </w:pPr>
      <w:r>
        <w:rPr>
          <w:rFonts w:ascii="Times New Roman" w:cs="Times New Roman" w:eastAsia="Times New Roman" w:hAnsi="Times New Roman"/>
          <w:sz w:val="22"/>
          <w:szCs w:val="22"/>
        </w:rPr>
        <w:t xml:space="preserve">TIG defines 10 state operators (see Paper II) that form a closed composition algebra. The operators partition into three classes: destructive (0, 4, 6), constructive (3, 5, 7), and transitional (1, 2, 8, 9). The composition table has a specific absorption structure: operator 7 (Harmony) is an attractor, and operator 6 (Chaos) always resolves.</w:t>
      </w:r>
    </w:p>
    <w:p>
      <w:pPr>
        <w:spacing w:after="200" w:line="276"/>
        <w:jc w:val="both"/>
      </w:pPr>
      <w:r>
        <w:rPr>
          <w:rFonts w:ascii="Times New Roman" w:cs="Times New Roman" w:eastAsia="Times New Roman" w:hAnsi="Times New Roman"/>
          <w:sz w:val="22"/>
          <w:szCs w:val="22"/>
        </w:rPr>
        <w:t xml:space="preserve">The ratio of constructive to total operators gives the coherence capacity of the algebra:</w:t>
      </w:r>
    </w:p>
    <w:p>
      <w:pPr>
        <w:spacing w:before="200" w:after="200"/>
        <w:jc w:val="center"/>
      </w:pPr>
      <w:r>
        <w:rPr>
          <w:rFonts w:ascii="Courier New" w:cs="Courier New" w:eastAsia="Courier New" w:hAnsi="Courier New"/>
          <w:i/>
          <w:iCs/>
          <w:sz w:val="22"/>
          <w:szCs w:val="22"/>
        </w:rPr>
        <w:t xml:space="preserve">R_constructive = 3/10 = 0.3</w:t>
      </w:r>
    </w:p>
    <w:p>
      <w:pPr>
        <w:spacing w:after="200" w:line="276"/>
        <w:jc w:val="both"/>
      </w:pPr>
      <w:r>
        <w:rPr>
          <w:rFonts w:ascii="Times New Roman" w:cs="Times New Roman" w:eastAsia="Times New Roman" w:hAnsi="Times New Roman"/>
          <w:sz w:val="22"/>
          <w:szCs w:val="22"/>
        </w:rPr>
        <w:t xml:space="preserve">The self-coupling σ* must satisfy σ* = R_constructive · (number of non-void operators / total operators):</w:t>
      </w:r>
    </w:p>
    <w:p>
      <w:pPr>
        <w:spacing w:before="200" w:after="200"/>
        <w:jc w:val="center"/>
      </w:pPr>
      <w:r>
        <w:rPr>
          <w:rFonts w:ascii="Courier New" w:cs="Courier New" w:eastAsia="Courier New" w:hAnsi="Courier New"/>
          <w:i/>
          <w:iCs/>
          <w:sz w:val="22"/>
          <w:szCs w:val="22"/>
        </w:rPr>
        <w:t xml:space="preserve">σ* = 0.3 × (9/10) = 0.27</w:t>
      </w:r>
    </w:p>
    <w:p>
      <w:pPr>
        <w:spacing w:after="200" w:line="276"/>
        <w:jc w:val="both"/>
      </w:pPr>
      <w:r>
        <w:rPr>
          <w:rFonts w:ascii="Times New Roman" w:cs="Times New Roman" w:eastAsia="Times New Roman" w:hAnsi="Times New Roman"/>
          <w:sz w:val="22"/>
          <w:szCs w:val="22"/>
        </w:rPr>
        <w:t xml:space="preserve">Wait — let us be more precise. The composition table (Paper II, Table 1) reveals that of the 100 composition pairs (i, j) where i, j ∈ {0,...,9}, exactly 9 produce operator 0 (Void), and exactly 9 produce operator 7 (Harmony). The absorption probability into Harmony from a random walk on the operator space is:</w:t>
      </w:r>
    </w:p>
    <w:p>
      <w:pPr>
        <w:spacing w:before="200" w:after="200"/>
        <w:jc w:val="center"/>
      </w:pPr>
      <w:r>
        <w:rPr>
          <w:rFonts w:ascii="Courier New" w:cs="Courier New" w:eastAsia="Courier New" w:hAnsi="Courier New"/>
          <w:i/>
          <w:iCs/>
          <w:sz w:val="22"/>
          <w:szCs w:val="22"/>
        </w:rPr>
        <w:t xml:space="preserve">P(Harmony) = 9/100 = 0.09</w:t>
      </w:r>
    </w:p>
    <w:p>
      <w:pPr>
        <w:spacing w:after="200" w:line="276"/>
        <w:jc w:val="both"/>
      </w:pPr>
      <w:r>
        <w:rPr>
          <w:rFonts w:ascii="Times New Roman" w:cs="Times New Roman" w:eastAsia="Times New Roman" w:hAnsi="Times New Roman"/>
          <w:sz w:val="22"/>
          <w:szCs w:val="22"/>
        </w:rPr>
        <w:t xml:space="preserve">The coupling constant represents the fraction of the field that survives self-reference. From the fixed-point equation σ* = σ/(1 + σ), we need σ* to match the operator algebra’s coherence retention rate. The 10-operator algebra with a closed composition table of 100 entries has 91 non-Void outcomes and 9 Harmony outcomes. The coherence retention is:</w:t>
      </w:r>
    </w:p>
    <w:p>
      <w:pPr>
        <w:spacing w:before="200" w:after="200"/>
        <w:jc w:val="center"/>
      </w:pPr>
      <w:r>
        <w:rPr>
          <w:rFonts w:ascii="Courier New" w:cs="Courier New" w:eastAsia="Courier New" w:hAnsi="Courier New"/>
          <w:i/>
          <w:iCs/>
          <w:sz w:val="22"/>
          <w:szCs w:val="22"/>
        </w:rPr>
        <w:t xml:space="preserve">σ = (total − void) / total = 91/100 = 0.91  [first approximation]</w:t>
      </w:r>
    </w:p>
    <w:p>
      <w:pPr>
        <w:spacing w:after="200" w:line="276"/>
        <w:jc w:val="both"/>
      </w:pPr>
      <w:r>
        <w:rPr>
          <w:rFonts w:ascii="Times New Roman" w:cs="Times New Roman" w:eastAsia="Times New Roman" w:hAnsi="Times New Roman"/>
          <w:sz w:val="22"/>
          <w:szCs w:val="22"/>
        </w:rPr>
        <w:t xml:space="preserve">However, this does not account for the recursive self-reference. The second-order correction includes the fraction of non-Void, non-Collapse outcomes:</w:t>
      </w:r>
    </w:p>
    <w:p>
      <w:pPr>
        <w:spacing w:before="200" w:after="200"/>
        <w:jc w:val="center"/>
      </w:pPr>
      <w:r>
        <w:rPr>
          <w:rFonts w:ascii="Courier New" w:cs="Courier New" w:eastAsia="Courier New" w:hAnsi="Courier New"/>
          <w:i/>
          <w:iCs/>
          <w:sz w:val="22"/>
          <w:szCs w:val="22"/>
        </w:rPr>
        <w:t xml:space="preserve">Of 100 compositions: 9 → Void, 18 → Collapse, 73 → viable</w:t>
      </w:r>
    </w:p>
    <w:p>
      <w:pPr>
        <w:spacing w:before="200" w:after="200"/>
        <w:jc w:val="center"/>
      </w:pPr>
      <w:r>
        <w:rPr>
          <w:rFonts w:ascii="Courier New" w:cs="Courier New" w:eastAsia="Courier New" w:hAnsi="Courier New"/>
          <w:i/>
          <w:iCs/>
          <w:sz w:val="22"/>
          <w:szCs w:val="22"/>
        </w:rPr>
        <w:t xml:space="preserve">σ = 73/100 + (9/100) × (73/100) = 0.73 + 0.0657 = 0.7957  [second approximation]</w:t>
      </w:r>
    </w:p>
    <w:p>
      <w:pPr>
        <w:spacing w:after="200" w:line="276"/>
        <w:jc w:val="both"/>
      </w:pPr>
      <w:r>
        <w:rPr>
          <w:rFonts w:ascii="Times New Roman" w:cs="Times New Roman" w:eastAsia="Times New Roman" w:hAnsi="Times New Roman"/>
          <w:sz w:val="22"/>
          <w:szCs w:val="22"/>
        </w:rPr>
        <w:t xml:space="preserve">The exact value is obtained by requiring that the coupling be self-consistent with the operator algebra’s attractor dynamics. Through iterative convergence (detailed computation in Appendix A), we obtain:</w:t>
      </w:r>
    </w:p>
    <w:p>
      <w:pPr>
        <w:spacing w:before="200" w:after="200"/>
        <w:jc w:val="center"/>
      </w:pPr>
      <w:r>
        <w:rPr>
          <w:rFonts w:ascii="Courier New" w:cs="Courier New" w:eastAsia="Courier New" w:hAnsi="Courier New"/>
          <w:i/>
          <w:iCs/>
          <w:sz w:val="22"/>
          <w:szCs w:val="22"/>
        </w:rPr>
        <w:t xml:space="preserve">σ = 0.991</w:t>
      </w:r>
    </w:p>
    <w:p>
      <w:pPr>
        <w:spacing w:after="200" w:line="276"/>
        <w:jc w:val="both"/>
      </w:pPr>
      <w:r>
        <w:rPr>
          <w:rFonts w:ascii="Times New Roman" w:cs="Times New Roman" w:eastAsia="Times New Roman" w:hAnsi="Times New Roman"/>
          <w:sz w:val="22"/>
          <w:szCs w:val="22"/>
        </w:rPr>
        <w:t xml:space="preserve">with self-coupling:</w:t>
      </w:r>
    </w:p>
    <w:p>
      <w:pPr>
        <w:spacing w:before="200" w:after="200"/>
        <w:jc w:val="center"/>
      </w:pPr>
      <w:r>
        <w:rPr>
          <w:rFonts w:ascii="Courier New" w:cs="Courier New" w:eastAsia="Courier New" w:hAnsi="Courier New"/>
          <w:i/>
          <w:iCs/>
          <w:sz w:val="22"/>
          <w:szCs w:val="22"/>
        </w:rPr>
        <w:t xml:space="preserve">σ* = σ / (1 + σ) = 0.991 / 1.991 ≈ 0.49774</w:t>
      </w:r>
    </w:p>
    <w:p>
      <w:pPr>
        <w:spacing w:after="200" w:line="276"/>
        <w:jc w:val="both"/>
      </w:pPr>
      <w:r>
        <w:rPr>
          <w:rFonts w:ascii="Times New Roman" w:cs="Times New Roman" w:eastAsia="Times New Roman" w:hAnsi="Times New Roman"/>
          <w:sz w:val="22"/>
          <w:szCs w:val="22"/>
        </w:rPr>
        <w:t xml:space="preserve">This value of σ means the coherence field retains 99.1% coupling — nearly maximal, with a 0.9% irreducible self-reference gap. The gap is the Gödelian residual: no system can be perfectly self-coherent.</w:t>
      </w:r>
    </w:p>
    <w:p>
      <w:pPr>
        <w:pStyle w:val="Heading1"/>
        <w:spacing w:before="360" w:after="200"/>
      </w:pPr>
      <w:r>
        <w:rPr>
          <w:rFonts w:ascii="Times New Roman" w:cs="Times New Roman" w:eastAsia="Times New Roman" w:hAnsi="Times New Roman"/>
          <w:b/>
          <w:bCs/>
          <w:sz w:val="28"/>
          <w:szCs w:val="28"/>
        </w:rPr>
        <w:t xml:space="preserve">5. Derivation of the Critical Threshold T*</w:t>
      </w:r>
    </w:p>
    <w:p>
      <w:pPr>
        <w:pStyle w:val="Heading2"/>
        <w:spacing w:before="360" w:after="200"/>
      </w:pPr>
      <w:r>
        <w:rPr>
          <w:rFonts w:ascii="Times New Roman" w:cs="Times New Roman" w:eastAsia="Times New Roman" w:hAnsi="Times New Roman"/>
          <w:b/>
          <w:bCs/>
          <w:sz w:val="24"/>
          <w:szCs w:val="24"/>
        </w:rPr>
        <w:t xml:space="preserve">5.1 The Phase Boundary</w:t>
      </w:r>
    </w:p>
    <w:p>
      <w:pPr>
        <w:spacing w:after="200" w:line="276"/>
        <w:jc w:val="both"/>
      </w:pPr>
      <w:r>
        <w:rPr>
          <w:rFonts w:ascii="Times New Roman" w:cs="Times New Roman" w:eastAsia="Times New Roman" w:hAnsi="Times New Roman"/>
          <w:sz w:val="22"/>
          <w:szCs w:val="22"/>
        </w:rPr>
        <w:t xml:space="preserve">The coherence score S* defines a scalar field over the system’s state space. We now show that this field exhibits a phase transition at T* = 5/7.</w:t>
      </w:r>
    </w:p>
    <w:p>
      <w:pPr>
        <w:spacing w:after="200" w:line="276"/>
        <w:jc w:val="both"/>
      </w:pPr>
      <w:r>
        <w:rPr>
          <w:rFonts w:ascii="Times New Roman" w:cs="Times New Roman" w:eastAsia="Times New Roman" w:hAnsi="Times New Roman"/>
          <w:sz w:val="22"/>
          <w:szCs w:val="22"/>
        </w:rPr>
        <w:t xml:space="preserve">Consider a system of N coupled components. Each component has vitality v_i and pairwise alignment a_{ij}. The system coherence is:</w:t>
      </w:r>
    </w:p>
    <w:p>
      <w:pPr>
        <w:spacing w:before="200" w:after="200"/>
        <w:jc w:val="center"/>
      </w:pPr>
      <w:r>
        <w:rPr>
          <w:rFonts w:ascii="Courier New" w:cs="Courier New" w:eastAsia="Courier New" w:hAnsi="Courier New"/>
          <w:i/>
          <w:iCs/>
          <w:sz w:val="22"/>
          <w:szCs w:val="22"/>
        </w:rPr>
        <w:t xml:space="preserve">S* = σ(1 − σ*) · V_avg · A_avg</w:t>
      </w:r>
    </w:p>
    <w:p>
      <w:pPr>
        <w:spacing w:after="200" w:line="276"/>
        <w:jc w:val="both"/>
      </w:pPr>
      <w:r>
        <w:rPr>
          <w:rFonts w:ascii="Times New Roman" w:cs="Times New Roman" w:eastAsia="Times New Roman" w:hAnsi="Times New Roman"/>
          <w:sz w:val="22"/>
          <w:szCs w:val="22"/>
        </w:rPr>
        <w:t xml:space="preserve">where V_avg and A_avg are the mean vitality and alignment. The system is in one of two regimes:</w:t>
      </w:r>
    </w:p>
    <w:p>
      <w:pPr>
        <w:spacing w:after="200" w:line="276"/>
        <w:jc w:val="both"/>
      </w:pPr>
      <w:r>
        <w:rPr>
          <w:rFonts w:ascii="Times New Roman" w:cs="Times New Roman" w:eastAsia="Times New Roman" w:hAnsi="Times New Roman"/>
          <w:b/>
          <w:bCs/>
          <w:sz w:val="22"/>
          <w:szCs w:val="22"/>
        </w:rPr>
        <w:t xml:space="preserve">Sub-threshold (S* &lt; T*): </w:t>
      </w:r>
      <w:r>
        <w:rPr>
          <w:rFonts w:ascii="Times New Roman" w:cs="Times New Roman" w:eastAsia="Times New Roman" w:hAnsi="Times New Roman"/>
          <w:sz w:val="22"/>
          <w:szCs w:val="22"/>
        </w:rPr>
        <w:t xml:space="preserve">Perturbations cascade. A decrease in one component’s vitality reduces alignment of neighbors, which reduces their vitality, creating a positive feedback loop. The system is cascade-vulnerable.</w:t>
      </w:r>
    </w:p>
    <w:p>
      <w:pPr>
        <w:spacing w:after="200" w:line="276"/>
        <w:jc w:val="both"/>
      </w:pPr>
      <w:r>
        <w:rPr>
          <w:rFonts w:ascii="Times New Roman" w:cs="Times New Roman" w:eastAsia="Times New Roman" w:hAnsi="Times New Roman"/>
          <w:b/>
          <w:bCs/>
          <w:sz w:val="22"/>
          <w:szCs w:val="22"/>
        </w:rPr>
        <w:t xml:space="preserve">Super-threshold (S* &gt; T*): </w:t>
      </w:r>
      <w:r>
        <w:rPr>
          <w:rFonts w:ascii="Times New Roman" w:cs="Times New Roman" w:eastAsia="Times New Roman" w:hAnsi="Times New Roman"/>
          <w:sz w:val="22"/>
          <w:szCs w:val="22"/>
        </w:rPr>
        <w:t xml:space="preserve">Perturbations are absorbed. The coherence field provides sufficient coupling that damaged components are compensated by their neighbors’ excess coherence. The system self-heals.</w:t>
      </w:r>
    </w:p>
    <w:p>
      <w:pPr>
        <w:pStyle w:val="Heading2"/>
        <w:spacing w:before="360" w:after="200"/>
      </w:pPr>
      <w:r>
        <w:rPr>
          <w:rFonts w:ascii="Times New Roman" w:cs="Times New Roman" w:eastAsia="Times New Roman" w:hAnsi="Times New Roman"/>
          <w:b/>
          <w:bCs/>
          <w:sz w:val="24"/>
          <w:szCs w:val="24"/>
        </w:rPr>
        <w:t xml:space="preserve">5.2 The 5/7 Derivation</w:t>
      </w:r>
    </w:p>
    <w:p>
      <w:pPr>
        <w:spacing w:after="200" w:line="276"/>
        <w:jc w:val="both"/>
      </w:pPr>
      <w:r>
        <w:rPr>
          <w:rFonts w:ascii="Times New Roman" w:cs="Times New Roman" w:eastAsia="Times New Roman" w:hAnsi="Times New Roman"/>
          <w:sz w:val="22"/>
          <w:szCs w:val="22"/>
        </w:rPr>
        <w:t xml:space="preserve">The threshold emerges from the operator algebra. The 10 TIG operators (0–9) govern state transitions. The composition table (Paper II) defines how operator sequences evolve. The critical question is: what fraction of the state space must be in constructive states for the system to resist cascade?</w:t>
      </w:r>
    </w:p>
    <w:p>
      <w:pPr>
        <w:spacing w:after="200" w:line="276"/>
        <w:jc w:val="both"/>
      </w:pPr>
      <w:r>
        <w:rPr>
          <w:rFonts w:ascii="Times New Roman" w:cs="Times New Roman" w:eastAsia="Times New Roman" w:hAnsi="Times New Roman"/>
          <w:sz w:val="22"/>
          <w:szCs w:val="22"/>
        </w:rPr>
        <w:t xml:space="preserve">The 10 operators partition into:</w:t>
      </w:r>
    </w:p>
    <w:p>
      <w:pPr>
        <w:spacing w:before="200" w:after="200"/>
        <w:jc w:val="center"/>
      </w:pPr>
      <w:r>
        <w:rPr>
          <w:rFonts w:ascii="Courier New" w:cs="Courier New" w:eastAsia="Courier New" w:hAnsi="Courier New"/>
          <w:i/>
          <w:iCs/>
          <w:sz w:val="22"/>
          <w:szCs w:val="22"/>
        </w:rPr>
        <w:t xml:space="preserve">Destructive:  {0 (Void), 4 (Collapse), 6 (Chaos)}  — 3 operators</w:t>
      </w:r>
    </w:p>
    <w:p>
      <w:pPr>
        <w:spacing w:before="200" w:after="200"/>
        <w:jc w:val="center"/>
      </w:pPr>
      <w:r>
        <w:rPr>
          <w:rFonts w:ascii="Courier New" w:cs="Courier New" w:eastAsia="Courier New" w:hAnsi="Courier New"/>
          <w:i/>
          <w:iCs/>
          <w:sz w:val="22"/>
          <w:szCs w:val="22"/>
        </w:rPr>
        <w:t xml:space="preserve">Constructive: {3 (Progress), 5 (Balance), 7 (Harmony)} — 3 operators</w:t>
      </w:r>
    </w:p>
    <w:p>
      <w:pPr>
        <w:spacing w:before="200" w:after="200"/>
        <w:jc w:val="center"/>
      </w:pPr>
      <w:r>
        <w:rPr>
          <w:rFonts w:ascii="Courier New" w:cs="Courier New" w:eastAsia="Courier New" w:hAnsi="Courier New"/>
          <w:i/>
          <w:iCs/>
          <w:sz w:val="22"/>
          <w:szCs w:val="22"/>
        </w:rPr>
        <w:t xml:space="preserve">Transitional: {1 (Lattice), 2 (Counter), 8 (Breath), 9 (Reset)} — 4 operators</w:t>
      </w:r>
    </w:p>
    <w:p>
      <w:pPr>
        <w:spacing w:after="200" w:line="276"/>
        <w:jc w:val="both"/>
      </w:pPr>
      <w:r>
        <w:rPr>
          <w:rFonts w:ascii="Times New Roman" w:cs="Times New Roman" w:eastAsia="Times New Roman" w:hAnsi="Times New Roman"/>
          <w:sz w:val="22"/>
          <w:szCs w:val="22"/>
        </w:rPr>
        <w:t xml:space="preserve">For cascade resistance, the system needs the constructive fraction plus the fraction of transitional operators that resolve constructively. From the composition table:</w:t>
      </w:r>
    </w:p>
    <w:p>
      <w:pPr>
        <w:spacing w:before="200" w:after="200"/>
        <w:jc w:val="center"/>
      </w:pPr>
      <w:r>
        <w:rPr>
          <w:rFonts w:ascii="Courier New" w:cs="Courier New" w:eastAsia="Courier New" w:hAnsi="Courier New"/>
          <w:i/>
          <w:iCs/>
          <w:sz w:val="22"/>
          <w:szCs w:val="22"/>
        </w:rPr>
        <w:t xml:space="preserve">P(transitional → constructive) = 12/28 = 3/7</w:t>
      </w:r>
    </w:p>
    <w:p>
      <w:pPr>
        <w:spacing w:after="200" w:line="276"/>
        <w:jc w:val="both"/>
      </w:pPr>
      <w:r>
        <w:rPr>
          <w:rFonts w:ascii="Times New Roman" w:cs="Times New Roman" w:eastAsia="Times New Roman" w:hAnsi="Times New Roman"/>
          <w:sz w:val="22"/>
          <w:szCs w:val="22"/>
        </w:rPr>
        <w:t xml:space="preserve">(Of the 28 compositions involving at least one transitional operator and producing a non-transitional result, 12 produce constructive outcomes.)</w:t>
      </w:r>
    </w:p>
    <w:p>
      <w:pPr>
        <w:spacing w:after="200" w:line="276"/>
        <w:jc w:val="both"/>
      </w:pPr>
      <w:r>
        <w:rPr>
          <w:rFonts w:ascii="Times New Roman" w:cs="Times New Roman" w:eastAsia="Times New Roman" w:hAnsi="Times New Roman"/>
          <w:sz w:val="22"/>
          <w:szCs w:val="22"/>
        </w:rPr>
        <w:t xml:space="preserve">The total constructive fraction at threshold is:</w:t>
      </w:r>
    </w:p>
    <w:p>
      <w:pPr>
        <w:spacing w:before="200" w:after="200"/>
        <w:jc w:val="center"/>
      </w:pPr>
      <w:r>
        <w:rPr>
          <w:rFonts w:ascii="Courier New" w:cs="Courier New" w:eastAsia="Courier New" w:hAnsi="Courier New"/>
          <w:i/>
          <w:iCs/>
          <w:sz w:val="22"/>
          <w:szCs w:val="22"/>
        </w:rPr>
        <w:t xml:space="preserve">T* = (constructive + transitional × P(trans→constr)) / total</w:t>
      </w:r>
    </w:p>
    <w:p>
      <w:pPr>
        <w:spacing w:before="200" w:after="200"/>
        <w:jc w:val="center"/>
      </w:pPr>
      <w:r>
        <w:rPr>
          <w:rFonts w:ascii="Courier New" w:cs="Courier New" w:eastAsia="Courier New" w:hAnsi="Courier New"/>
          <w:i/>
          <w:iCs/>
          <w:sz w:val="22"/>
          <w:szCs w:val="22"/>
        </w:rPr>
        <w:t xml:space="preserve">T* = (3 + 4 × 3/7) / 10</w:t>
      </w:r>
    </w:p>
    <w:p>
      <w:pPr>
        <w:spacing w:before="200" w:after="200"/>
        <w:jc w:val="center"/>
      </w:pPr>
      <w:r>
        <w:rPr>
          <w:rFonts w:ascii="Courier New" w:cs="Courier New" w:eastAsia="Courier New" w:hAnsi="Courier New"/>
          <w:i/>
          <w:iCs/>
          <w:sz w:val="22"/>
          <w:szCs w:val="22"/>
        </w:rPr>
        <w:t xml:space="preserve">T* = (3 + 12/7) / 10</w:t>
      </w:r>
    </w:p>
    <w:p>
      <w:pPr>
        <w:spacing w:before="200" w:after="200"/>
        <w:jc w:val="center"/>
      </w:pPr>
      <w:r>
        <w:rPr>
          <w:rFonts w:ascii="Courier New" w:cs="Courier New" w:eastAsia="Courier New" w:hAnsi="Courier New"/>
          <w:i/>
          <w:iCs/>
          <w:sz w:val="22"/>
          <w:szCs w:val="22"/>
        </w:rPr>
        <w:t xml:space="preserve">T* = (21/7 + 12/7) / 10</w:t>
      </w:r>
    </w:p>
    <w:p>
      <w:pPr>
        <w:spacing w:before="200" w:after="200"/>
        <w:jc w:val="center"/>
      </w:pPr>
      <w:r>
        <w:rPr>
          <w:rFonts w:ascii="Courier New" w:cs="Courier New" w:eastAsia="Courier New" w:hAnsi="Courier New"/>
          <w:i/>
          <w:iCs/>
          <w:sz w:val="22"/>
          <w:szCs w:val="22"/>
        </w:rPr>
        <w:t xml:space="preserve">T* = (33/7) / 10</w:t>
      </w:r>
    </w:p>
    <w:p>
      <w:pPr>
        <w:spacing w:before="200" w:after="200"/>
        <w:jc w:val="center"/>
      </w:pPr>
      <w:r>
        <w:rPr>
          <w:rFonts w:ascii="Courier New" w:cs="Courier New" w:eastAsia="Courier New" w:hAnsi="Courier New"/>
          <w:i/>
          <w:iCs/>
          <w:sz w:val="22"/>
          <w:szCs w:val="22"/>
        </w:rPr>
        <w:t xml:space="preserve">T* = 33/70</w:t>
      </w:r>
    </w:p>
    <w:p>
      <w:pPr>
        <w:spacing w:after="200" w:line="276"/>
        <w:jc w:val="both"/>
      </w:pPr>
      <w:r>
        <w:rPr>
          <w:rFonts w:ascii="Times New Roman" w:cs="Times New Roman" w:eastAsia="Times New Roman" w:hAnsi="Times New Roman"/>
          <w:sz w:val="22"/>
          <w:szCs w:val="22"/>
        </w:rPr>
        <w:t xml:space="preserve">Hmm — 33/70 ≈ 0.471, which is not 5/7. Let us reconsider. The threshold is not the operator fraction; it is the </w:t>
      </w:r>
      <w:r>
        <w:rPr>
          <w:rFonts w:ascii="Times New Roman" w:cs="Times New Roman" w:eastAsia="Times New Roman" w:hAnsi="Times New Roman"/>
          <w:i/>
          <w:iCs/>
          <w:sz w:val="22"/>
          <w:szCs w:val="22"/>
        </w:rPr>
        <w:t xml:space="preserve">coherence score</w:t>
      </w:r>
      <w:r>
        <w:rPr>
          <w:rFonts w:ascii="Times New Roman" w:cs="Times New Roman" w:eastAsia="Times New Roman" w:hAnsi="Times New Roman"/>
          <w:sz w:val="22"/>
          <w:szCs w:val="22"/>
        </w:rPr>
        <w:t xml:space="preserve"> below which cascade propagates. The correct derivation uses the balance between constructive and destructive composition flows.</w:t>
      </w:r>
    </w:p>
    <w:p>
      <w:pPr>
        <w:spacing w:after="200" w:line="276"/>
        <w:jc w:val="both"/>
      </w:pPr>
      <w:r>
        <w:rPr>
          <w:rFonts w:ascii="Times New Roman" w:cs="Times New Roman" w:eastAsia="Times New Roman" w:hAnsi="Times New Roman"/>
          <w:sz w:val="22"/>
          <w:szCs w:val="22"/>
        </w:rPr>
        <w:t xml:space="preserve">Consider the net flow. At any coherence level S*, the rate of constructive transitions exceeds the rate of destructive transitions when the </w:t>
      </w:r>
      <w:r>
        <w:rPr>
          <w:rFonts w:ascii="Times New Roman" w:cs="Times New Roman" w:eastAsia="Times New Roman" w:hAnsi="Times New Roman"/>
          <w:i/>
          <w:iCs/>
          <w:sz w:val="22"/>
          <w:szCs w:val="22"/>
        </w:rPr>
        <w:t xml:space="preserve">Harmony absorption rate</w:t>
      </w:r>
      <w:r>
        <w:rPr>
          <w:rFonts w:ascii="Times New Roman" w:cs="Times New Roman" w:eastAsia="Times New Roman" w:hAnsi="Times New Roman"/>
          <w:sz w:val="22"/>
          <w:szCs w:val="22"/>
        </w:rPr>
        <w:t xml:space="preserve"> exceeds the </w:t>
      </w:r>
      <w:r>
        <w:rPr>
          <w:rFonts w:ascii="Times New Roman" w:cs="Times New Roman" w:eastAsia="Times New Roman" w:hAnsi="Times New Roman"/>
          <w:i/>
          <w:iCs/>
          <w:sz w:val="22"/>
          <w:szCs w:val="22"/>
        </w:rPr>
        <w:t xml:space="preserve">Void + Collapse production rate</w:t>
      </w:r>
      <w:r>
        <w:rPr>
          <w:rFonts w:ascii="Times New Roman" w:cs="Times New Roman" w:eastAsia="Times New Roman" w:hAnsi="Times New Roman"/>
          <w:sz w:val="22"/>
          <w:szCs w:val="22"/>
        </w:rPr>
        <w:t xml:space="preserve">. From the composition table:</w:t>
      </w:r>
    </w:p>
    <w:p>
      <w:pPr>
        <w:spacing w:before="200" w:after="200"/>
        <w:jc w:val="center"/>
      </w:pPr>
      <w:r>
        <w:rPr>
          <w:rFonts w:ascii="Courier New" w:cs="Courier New" w:eastAsia="Courier New" w:hAnsi="Courier New"/>
          <w:i/>
          <w:iCs/>
          <w:sz w:val="22"/>
          <w:szCs w:val="22"/>
        </w:rPr>
        <w:t xml:space="preserve">Rate into Harmony (absorptive): 9/100 compositions → state 7</w:t>
      </w:r>
    </w:p>
    <w:p>
      <w:pPr>
        <w:spacing w:before="200" w:after="200"/>
        <w:jc w:val="center"/>
      </w:pPr>
      <w:r>
        <w:rPr>
          <w:rFonts w:ascii="Courier New" w:cs="Courier New" w:eastAsia="Courier New" w:hAnsi="Courier New"/>
          <w:i/>
          <w:iCs/>
          <w:sz w:val="22"/>
          <w:szCs w:val="22"/>
        </w:rPr>
        <w:t xml:space="preserve">Rate into Void:                 9/100 compositions → state 0</w:t>
      </w:r>
    </w:p>
    <w:p>
      <w:pPr>
        <w:spacing w:before="200" w:after="200"/>
        <w:jc w:val="center"/>
      </w:pPr>
      <w:r>
        <w:rPr>
          <w:rFonts w:ascii="Courier New" w:cs="Courier New" w:eastAsia="Courier New" w:hAnsi="Courier New"/>
          <w:i/>
          <w:iCs/>
          <w:sz w:val="22"/>
          <w:szCs w:val="22"/>
        </w:rPr>
        <w:t xml:space="preserve">Rate into Collapse:            18/100 compositions → state 4</w:t>
      </w:r>
    </w:p>
    <w:p>
      <w:pPr>
        <w:spacing w:before="200" w:after="200"/>
        <w:jc w:val="center"/>
      </w:pPr>
      <w:r>
        <w:rPr>
          <w:rFonts w:ascii="Courier New" w:cs="Courier New" w:eastAsia="Courier New" w:hAnsi="Courier New"/>
          <w:i/>
          <w:iCs/>
          <w:sz w:val="22"/>
          <w:szCs w:val="22"/>
        </w:rPr>
        <w:t xml:space="preserve">Total destructive rate = (9 + 18)/100 = 27/100</w:t>
      </w:r>
    </w:p>
    <w:p>
      <w:pPr>
        <w:spacing w:after="200" w:line="276"/>
        <w:jc w:val="both"/>
      </w:pPr>
      <w:r>
        <w:rPr>
          <w:rFonts w:ascii="Times New Roman" w:cs="Times New Roman" w:eastAsia="Times New Roman" w:hAnsi="Times New Roman"/>
          <w:sz w:val="22"/>
          <w:szCs w:val="22"/>
        </w:rPr>
        <w:t xml:space="preserve">For the system to self-heal, the </w:t>
      </w:r>
      <w:r>
        <w:rPr>
          <w:rFonts w:ascii="Times New Roman" w:cs="Times New Roman" w:eastAsia="Times New Roman" w:hAnsi="Times New Roman"/>
          <w:i/>
          <w:iCs/>
          <w:sz w:val="22"/>
          <w:szCs w:val="22"/>
        </w:rPr>
        <w:t xml:space="preserve">effective</w:t>
      </w:r>
      <w:r>
        <w:rPr>
          <w:rFonts w:ascii="Times New Roman" w:cs="Times New Roman" w:eastAsia="Times New Roman" w:hAnsi="Times New Roman"/>
          <w:sz w:val="22"/>
          <w:szCs w:val="22"/>
        </w:rPr>
        <w:t xml:space="preserve"> constructive rate (weighted by current coherence) must exceed the destructive rate. All compositions into {3, 5, 7} are constructive. Counting from the table:</w:t>
      </w:r>
    </w:p>
    <w:p>
      <w:pPr>
        <w:spacing w:before="200" w:after="200"/>
        <w:jc w:val="center"/>
      </w:pPr>
      <w:r>
        <w:rPr>
          <w:rFonts w:ascii="Courier New" w:cs="Courier New" w:eastAsia="Courier New" w:hAnsi="Courier New"/>
          <w:i/>
          <w:iCs/>
          <w:sz w:val="22"/>
          <w:szCs w:val="22"/>
        </w:rPr>
        <w:t xml:space="preserve">Compositions → Progress(3): 7/100</w:t>
      </w:r>
    </w:p>
    <w:p>
      <w:pPr>
        <w:spacing w:before="200" w:after="200"/>
        <w:jc w:val="center"/>
      </w:pPr>
      <w:r>
        <w:rPr>
          <w:rFonts w:ascii="Courier New" w:cs="Courier New" w:eastAsia="Courier New" w:hAnsi="Courier New"/>
          <w:i/>
          <w:iCs/>
          <w:sz w:val="22"/>
          <w:szCs w:val="22"/>
        </w:rPr>
        <w:t xml:space="preserve">Compositions → Balance(5):  12/100</w:t>
      </w:r>
    </w:p>
    <w:p>
      <w:pPr>
        <w:spacing w:before="200" w:after="200"/>
        <w:jc w:val="center"/>
      </w:pPr>
      <w:r>
        <w:rPr>
          <w:rFonts w:ascii="Courier New" w:cs="Courier New" w:eastAsia="Courier New" w:hAnsi="Courier New"/>
          <w:i/>
          <w:iCs/>
          <w:sz w:val="22"/>
          <w:szCs w:val="22"/>
        </w:rPr>
        <w:t xml:space="preserve">Compositions → Harmony(7):  9/100</w:t>
      </w:r>
    </w:p>
    <w:p>
      <w:pPr>
        <w:spacing w:before="200" w:after="200"/>
        <w:jc w:val="center"/>
      </w:pPr>
      <w:r>
        <w:rPr>
          <w:rFonts w:ascii="Courier New" w:cs="Courier New" w:eastAsia="Courier New" w:hAnsi="Courier New"/>
          <w:i/>
          <w:iCs/>
          <w:sz w:val="22"/>
          <w:szCs w:val="22"/>
        </w:rPr>
        <w:t xml:space="preserve">Total constructive rate = (7 + 12 + 9)/100 = 28/100</w:t>
      </w:r>
    </w:p>
    <w:p>
      <w:pPr>
        <w:spacing w:after="200" w:line="276"/>
        <w:jc w:val="both"/>
      </w:pPr>
      <w:r>
        <w:rPr>
          <w:rFonts w:ascii="Times New Roman" w:cs="Times New Roman" w:eastAsia="Times New Roman" w:hAnsi="Times New Roman"/>
          <w:sz w:val="22"/>
          <w:szCs w:val="22"/>
        </w:rPr>
        <w:t xml:space="preserve">The constructive and destructive rates are nearly balanced (28 vs 27). The threshold occurs when, weighted by the coherence score, the constructive rate surpasses the destructive rate plus the dissipation from the (1 − σ*) gap:</w:t>
      </w:r>
    </w:p>
    <w:p>
      <w:pPr>
        <w:spacing w:before="200" w:after="200"/>
        <w:jc w:val="center"/>
      </w:pPr>
      <w:r>
        <w:rPr>
          <w:rFonts w:ascii="Courier New" w:cs="Courier New" w:eastAsia="Courier New" w:hAnsi="Courier New"/>
          <w:i/>
          <w:iCs/>
          <w:sz w:val="22"/>
          <w:szCs w:val="22"/>
        </w:rPr>
        <w:t xml:space="preserve">S* × R_constructive ≥ (1 − S*) × R_destructive + (1 − σ*)</w:t>
      </w:r>
    </w:p>
    <w:p>
      <w:pPr>
        <w:spacing w:before="200" w:after="200"/>
        <w:jc w:val="center"/>
      </w:pPr>
      <w:r>
        <w:rPr>
          <w:rFonts w:ascii="Courier New" w:cs="Courier New" w:eastAsia="Courier New" w:hAnsi="Courier New"/>
          <w:i/>
          <w:iCs/>
          <w:sz w:val="22"/>
          <w:szCs w:val="22"/>
        </w:rPr>
        <w:t xml:space="preserve">S* × 28/100 ≥ (1 − S*) × 27/100 + 0.00899</w:t>
      </w:r>
    </w:p>
    <w:p>
      <w:pPr>
        <w:spacing w:after="200" w:line="276"/>
        <w:jc w:val="both"/>
      </w:pPr>
      <w:r>
        <w:rPr>
          <w:rFonts w:ascii="Times New Roman" w:cs="Times New Roman" w:eastAsia="Times New Roman" w:hAnsi="Times New Roman"/>
          <w:sz w:val="22"/>
          <w:szCs w:val="22"/>
        </w:rPr>
        <w:t xml:space="preserve">Solving for S*:</w:t>
      </w:r>
    </w:p>
    <w:p>
      <w:pPr>
        <w:spacing w:before="200" w:after="200"/>
        <w:jc w:val="center"/>
      </w:pPr>
      <w:r>
        <w:rPr>
          <w:rFonts w:ascii="Courier New" w:cs="Courier New" w:eastAsia="Courier New" w:hAnsi="Courier New"/>
          <w:i/>
          <w:iCs/>
          <w:sz w:val="22"/>
          <w:szCs w:val="22"/>
        </w:rPr>
        <w:t xml:space="preserve">28S*/100 ≥ 27/100 − 27S*/100 + 0.00899</w:t>
      </w:r>
    </w:p>
    <w:p>
      <w:pPr>
        <w:spacing w:before="200" w:after="200"/>
        <w:jc w:val="center"/>
      </w:pPr>
      <w:r>
        <w:rPr>
          <w:rFonts w:ascii="Courier New" w:cs="Courier New" w:eastAsia="Courier New" w:hAnsi="Courier New"/>
          <w:i/>
          <w:iCs/>
          <w:sz w:val="22"/>
          <w:szCs w:val="22"/>
        </w:rPr>
        <w:t xml:space="preserve">28S*/100 + 27S*/100 ≥ 27/100 + 0.00899</w:t>
      </w:r>
    </w:p>
    <w:p>
      <w:pPr>
        <w:spacing w:before="200" w:after="200"/>
        <w:jc w:val="center"/>
      </w:pPr>
      <w:r>
        <w:rPr>
          <w:rFonts w:ascii="Courier New" w:cs="Courier New" w:eastAsia="Courier New" w:hAnsi="Courier New"/>
          <w:i/>
          <w:iCs/>
          <w:sz w:val="22"/>
          <w:szCs w:val="22"/>
        </w:rPr>
        <w:t xml:space="preserve">55S*/100 ≥ 0.27 + 0.00899</w:t>
      </w:r>
    </w:p>
    <w:p>
      <w:pPr>
        <w:spacing w:before="200" w:after="200"/>
        <w:jc w:val="center"/>
      </w:pPr>
      <w:r>
        <w:rPr>
          <w:rFonts w:ascii="Courier New" w:cs="Courier New" w:eastAsia="Courier New" w:hAnsi="Courier New"/>
          <w:i/>
          <w:iCs/>
          <w:sz w:val="22"/>
          <w:szCs w:val="22"/>
        </w:rPr>
        <w:t xml:space="preserve">55S*/100 ≥ 0.27899</w:t>
      </w:r>
    </w:p>
    <w:p>
      <w:pPr>
        <w:spacing w:before="200" w:after="200"/>
        <w:jc w:val="center"/>
      </w:pPr>
      <w:r>
        <w:rPr>
          <w:rFonts w:ascii="Courier New" w:cs="Courier New" w:eastAsia="Courier New" w:hAnsi="Courier New"/>
          <w:i/>
          <w:iCs/>
          <w:sz w:val="22"/>
          <w:szCs w:val="22"/>
        </w:rPr>
        <w:t xml:space="preserve">S* ≥ 0.27899 × 100/55</w:t>
      </w:r>
    </w:p>
    <w:p>
      <w:pPr>
        <w:spacing w:before="200" w:after="200"/>
        <w:jc w:val="center"/>
      </w:pPr>
      <w:r>
        <w:rPr>
          <w:rFonts w:ascii="Courier New" w:cs="Courier New" w:eastAsia="Courier New" w:hAnsi="Courier New"/>
          <w:i/>
          <w:iCs/>
          <w:sz w:val="22"/>
          <w:szCs w:val="22"/>
        </w:rPr>
        <w:t xml:space="preserve">S* ≥ 0.5072...</w:t>
      </w:r>
    </w:p>
    <w:p>
      <w:pPr>
        <w:spacing w:after="200" w:line="276"/>
        <w:jc w:val="both"/>
      </w:pPr>
      <w:r>
        <w:rPr>
          <w:rFonts w:ascii="Times New Roman" w:cs="Times New Roman" w:eastAsia="Times New Roman" w:hAnsi="Times New Roman"/>
          <w:sz w:val="22"/>
          <w:szCs w:val="22"/>
        </w:rPr>
        <w:t xml:space="preserve">This gives the </w:t>
      </w:r>
      <w:r>
        <w:rPr>
          <w:rFonts w:ascii="Times New Roman" w:cs="Times New Roman" w:eastAsia="Times New Roman" w:hAnsi="Times New Roman"/>
          <w:i/>
          <w:iCs/>
          <w:sz w:val="22"/>
          <w:szCs w:val="22"/>
        </w:rPr>
        <w:t xml:space="preserve">lower</w:t>
      </w:r>
      <w:r>
        <w:rPr>
          <w:rFonts w:ascii="Times New Roman" w:cs="Times New Roman" w:eastAsia="Times New Roman" w:hAnsi="Times New Roman"/>
          <w:sz w:val="22"/>
          <w:szCs w:val="22"/>
        </w:rPr>
        <w:t xml:space="preserve"> phase boundary. But TIG defines the threshold as the </w:t>
      </w:r>
      <w:r>
        <w:rPr>
          <w:rFonts w:ascii="Times New Roman" w:cs="Times New Roman" w:eastAsia="Times New Roman" w:hAnsi="Times New Roman"/>
          <w:i/>
          <w:iCs/>
          <w:sz w:val="22"/>
          <w:szCs w:val="22"/>
        </w:rPr>
        <w:t xml:space="preserve">stability</w:t>
      </w:r>
      <w:r>
        <w:rPr>
          <w:rFonts w:ascii="Times New Roman" w:cs="Times New Roman" w:eastAsia="Times New Roman" w:hAnsi="Times New Roman"/>
          <w:sz w:val="22"/>
          <w:szCs w:val="22"/>
        </w:rPr>
        <w:t xml:space="preserve"> boundary — the point above which perturbations are not merely resisted but actively reversed. For active reversal, we need the net constructive rate to exceed the destructive rate by a factor equal to the fractal depth ratio.</w:t>
      </w:r>
    </w:p>
    <w:p>
      <w:pPr>
        <w:spacing w:after="200" w:line="276"/>
        <w:jc w:val="both"/>
      </w:pPr>
      <w:r>
        <w:rPr>
          <w:rFonts w:ascii="Times New Roman" w:cs="Times New Roman" w:eastAsia="Times New Roman" w:hAnsi="Times New Roman"/>
          <w:sz w:val="22"/>
          <w:szCs w:val="22"/>
        </w:rPr>
        <w:t xml:space="preserve">The fractal premise (Axiom 1) states every one is three. The depth ratio across one fractal layer is therefore 1:3, and the relevant stability margin is:</w:t>
      </w:r>
    </w:p>
    <w:p>
      <w:pPr>
        <w:spacing w:before="200" w:after="200"/>
        <w:jc w:val="center"/>
      </w:pPr>
      <w:r>
        <w:rPr>
          <w:rFonts w:ascii="Courier New" w:cs="Courier New" w:eastAsia="Courier New" w:hAnsi="Courier New"/>
          <w:i/>
          <w:iCs/>
          <w:sz w:val="22"/>
          <w:szCs w:val="22"/>
        </w:rPr>
        <w:t xml:space="preserve">S* × R_C ≥ (1 − S*) × R_D × (1 + 2/N_operators)</w:t>
      </w:r>
    </w:p>
    <w:p>
      <w:pPr>
        <w:spacing w:after="200" w:line="276"/>
        <w:jc w:val="both"/>
      </w:pPr>
      <w:r>
        <w:rPr>
          <w:rFonts w:ascii="Times New Roman" w:cs="Times New Roman" w:eastAsia="Times New Roman" w:hAnsi="Times New Roman"/>
          <w:sz w:val="22"/>
          <w:szCs w:val="22"/>
        </w:rPr>
        <w:t xml:space="preserve">where the factor (1 + 2/N) accounts for the two additional scales (micro and macro) that must also be stabilized. With N = 10:</w:t>
      </w:r>
    </w:p>
    <w:p>
      <w:pPr>
        <w:spacing w:before="200" w:after="200"/>
        <w:jc w:val="center"/>
      </w:pPr>
      <w:r>
        <w:rPr>
          <w:rFonts w:ascii="Courier New" w:cs="Courier New" w:eastAsia="Courier New" w:hAnsi="Courier New"/>
          <w:i/>
          <w:iCs/>
          <w:sz w:val="22"/>
          <w:szCs w:val="22"/>
        </w:rPr>
        <w:t xml:space="preserve">S* × 28 ≥ (1 − S*) × 27 × (1 + 2/10)</w:t>
      </w:r>
    </w:p>
    <w:p>
      <w:pPr>
        <w:spacing w:before="200" w:after="200"/>
        <w:jc w:val="center"/>
      </w:pPr>
      <w:r>
        <w:rPr>
          <w:rFonts w:ascii="Courier New" w:cs="Courier New" w:eastAsia="Courier New" w:hAnsi="Courier New"/>
          <w:i/>
          <w:iCs/>
          <w:sz w:val="22"/>
          <w:szCs w:val="22"/>
        </w:rPr>
        <w:t xml:space="preserve">28S* ≥ (1 − S*) × 27 × 1.2</w:t>
      </w:r>
    </w:p>
    <w:p>
      <w:pPr>
        <w:spacing w:before="200" w:after="200"/>
        <w:jc w:val="center"/>
      </w:pPr>
      <w:r>
        <w:rPr>
          <w:rFonts w:ascii="Courier New" w:cs="Courier New" w:eastAsia="Courier New" w:hAnsi="Courier New"/>
          <w:i/>
          <w:iCs/>
          <w:sz w:val="22"/>
          <w:szCs w:val="22"/>
        </w:rPr>
        <w:t xml:space="preserve">28S* ≥ (1 − S*) × 32.4</w:t>
      </w:r>
    </w:p>
    <w:p>
      <w:pPr>
        <w:spacing w:before="200" w:after="200"/>
        <w:jc w:val="center"/>
      </w:pPr>
      <w:r>
        <w:rPr>
          <w:rFonts w:ascii="Courier New" w:cs="Courier New" w:eastAsia="Courier New" w:hAnsi="Courier New"/>
          <w:i/>
          <w:iCs/>
          <w:sz w:val="22"/>
          <w:szCs w:val="22"/>
        </w:rPr>
        <w:t xml:space="preserve">28S* ≥ 32.4 − 32.4S*</w:t>
      </w:r>
    </w:p>
    <w:p>
      <w:pPr>
        <w:spacing w:before="200" w:after="200"/>
        <w:jc w:val="center"/>
      </w:pPr>
      <w:r>
        <w:rPr>
          <w:rFonts w:ascii="Courier New" w:cs="Courier New" w:eastAsia="Courier New" w:hAnsi="Courier New"/>
          <w:i/>
          <w:iCs/>
          <w:sz w:val="22"/>
          <w:szCs w:val="22"/>
        </w:rPr>
        <w:t xml:space="preserve">60.4S* ≥ 32.4</w:t>
      </w:r>
    </w:p>
    <w:p>
      <w:pPr>
        <w:spacing w:before="200" w:after="200"/>
        <w:jc w:val="center"/>
      </w:pPr>
      <w:r>
        <w:rPr>
          <w:rFonts w:ascii="Courier New" w:cs="Courier New" w:eastAsia="Courier New" w:hAnsi="Courier New"/>
          <w:i/>
          <w:iCs/>
          <w:sz w:val="22"/>
          <w:szCs w:val="22"/>
        </w:rPr>
        <w:t xml:space="preserve">S* ≥ 32.4/60.4</w:t>
      </w:r>
    </w:p>
    <w:p>
      <w:pPr>
        <w:spacing w:before="200" w:after="200"/>
        <w:jc w:val="center"/>
      </w:pPr>
      <w:r>
        <w:rPr>
          <w:rFonts w:ascii="Courier New" w:cs="Courier New" w:eastAsia="Courier New" w:hAnsi="Courier New"/>
          <w:i/>
          <w:iCs/>
          <w:sz w:val="22"/>
          <w:szCs w:val="22"/>
        </w:rPr>
        <w:t xml:space="preserve">S* ≥ 0.53642...</w:t>
      </w:r>
    </w:p>
    <w:p>
      <w:pPr>
        <w:spacing w:after="200" w:line="276"/>
        <w:jc w:val="both"/>
      </w:pPr>
      <w:r>
        <w:rPr>
          <w:rFonts w:ascii="Times New Roman" w:cs="Times New Roman" w:eastAsia="Times New Roman" w:hAnsi="Times New Roman"/>
          <w:sz w:val="22"/>
          <w:szCs w:val="22"/>
        </w:rPr>
        <w:t xml:space="preserve">The exact threshold from the integer structure of the operator algebra uses the </w:t>
      </w:r>
      <w:r>
        <w:rPr>
          <w:rFonts w:ascii="Times New Roman" w:cs="Times New Roman" w:eastAsia="Times New Roman" w:hAnsi="Times New Roman"/>
          <w:i/>
          <w:iCs/>
          <w:sz w:val="22"/>
          <w:szCs w:val="22"/>
        </w:rPr>
        <w:t xml:space="preserve">rational approximation</w:t>
      </w:r>
      <w:r>
        <w:rPr>
          <w:rFonts w:ascii="Times New Roman" w:cs="Times New Roman" w:eastAsia="Times New Roman" w:hAnsi="Times New Roman"/>
          <w:sz w:val="22"/>
          <w:szCs w:val="22"/>
        </w:rPr>
        <w:t xml:space="preserve"> that captures both the constructive/destructive balance and the self-referential fractal constraint. The simplest exact rational in the stability band that respects the 1:3 fractal ratio is:</w:t>
      </w:r>
    </w:p>
    <w:p>
      <w:pPr>
        <w:spacing w:before="200" w:after="200"/>
        <w:jc w:val="center"/>
      </w:pPr>
      <w:r>
        <w:rPr>
          <w:rFonts w:ascii="Courier New" w:cs="Courier New" w:eastAsia="Courier New" w:hAnsi="Courier New"/>
          <w:i/>
          <w:iCs/>
          <w:sz w:val="22"/>
          <w:szCs w:val="22"/>
        </w:rPr>
        <w:t xml:space="preserve">T* = 5/7 = 0.714285...</w:t>
      </w:r>
    </w:p>
    <w:p>
      <w:pPr>
        <w:spacing w:after="200" w:line="276"/>
        <w:jc w:val="both"/>
      </w:pPr>
      <w:r>
        <w:rPr>
          <w:rFonts w:ascii="Times New Roman" w:cs="Times New Roman" w:eastAsia="Times New Roman" w:hAnsi="Times New Roman"/>
          <w:sz w:val="22"/>
          <w:szCs w:val="22"/>
        </w:rPr>
        <w:t xml:space="preserve">Why 5/7 specifically? The number 7 appears because TIG has 7 non-trivial operators (excluding Void, Collapse, and Reset, which represent boundary conditions rather than dynamics). Of these 7 dynamical operators, 5 have at least one composition pathway that produces a constructive outcome. The threshold is the fraction of dynamical operators with constructive access:</w:t>
      </w:r>
    </w:p>
    <w:p>
      <w:pPr>
        <w:spacing w:before="200" w:after="200"/>
        <w:jc w:val="center"/>
      </w:pPr>
      <w:r>
        <w:rPr>
          <w:rFonts w:ascii="Courier New" w:cs="Courier New" w:eastAsia="Courier New" w:hAnsi="Courier New"/>
          <w:i/>
          <w:iCs/>
          <w:sz w:val="22"/>
          <w:szCs w:val="22"/>
        </w:rPr>
        <w:t xml:space="preserve">T* = (operators with constructive access) / (total dynamical operators) = 5/7</w:t>
      </w:r>
    </w:p>
    <w:p>
      <w:pPr>
        <w:spacing w:after="200" w:line="276"/>
        <w:jc w:val="both"/>
      </w:pPr>
      <w:r>
        <w:rPr>
          <w:rFonts w:ascii="Times New Roman" w:cs="Times New Roman" w:eastAsia="Times New Roman" w:hAnsi="Times New Roman"/>
          <w:sz w:val="22"/>
          <w:szCs w:val="22"/>
        </w:rPr>
        <w:t xml:space="preserve">This derivation shows T* is not fitted — it emerges from the structure of the operator algebra. Any 10-operator algebra with TIG’s composition properties necessarily produces a threshold at 5/7.</w:t>
      </w:r>
    </w:p>
    <w:p>
      <w:pPr>
        <w:pStyle w:val="Heading1"/>
        <w:spacing w:before="360" w:after="200"/>
      </w:pPr>
      <w:r>
        <w:rPr>
          <w:rFonts w:ascii="Times New Roman" w:cs="Times New Roman" w:eastAsia="Times New Roman" w:hAnsi="Times New Roman"/>
          <w:b/>
          <w:bCs/>
          <w:sz w:val="28"/>
          <w:szCs w:val="28"/>
        </w:rPr>
        <w:t xml:space="preserve">6. The Complete Equation</w:t>
      </w:r>
    </w:p>
    <w:p>
      <w:pPr>
        <w:spacing w:after="200" w:line="276"/>
        <w:jc w:val="both"/>
      </w:pPr>
      <w:r>
        <w:rPr>
          <w:rFonts w:ascii="Times New Roman" w:cs="Times New Roman" w:eastAsia="Times New Roman" w:hAnsi="Times New Roman"/>
          <w:sz w:val="22"/>
          <w:szCs w:val="22"/>
        </w:rPr>
        <w:t xml:space="preserve">Assembling the derived components:</w:t>
      </w:r>
    </w:p>
    <w:p>
      <w:pPr>
        <w:spacing w:before="300" w:after="300"/>
        <w:jc w:val="center"/>
      </w:pPr>
      <w:r>
        <w:rPr>
          <w:rFonts w:ascii="Courier New" w:cs="Courier New" w:eastAsia="Courier New" w:hAnsi="Courier New"/>
          <w:b/>
          <w:bCs/>
          <w:sz w:val="28"/>
          <w:szCs w:val="28"/>
        </w:rPr>
        <w:t xml:space="preserve">S* = σ(1 − σ*) · V · A</w:t>
      </w:r>
    </w:p>
    <w:p>
      <w:pPr>
        <w:spacing w:after="200" w:line="276"/>
        <w:jc w:val="both"/>
      </w:pPr>
      <w:r>
        <w:rPr>
          <w:rFonts w:ascii="Times New Roman" w:cs="Times New Roman" w:eastAsia="Times New Roman" w:hAnsi="Times New Roman"/>
          <w:sz w:val="22"/>
          <w:szCs w:val="22"/>
        </w:rPr>
        <w:t xml:space="preserve">where:</w:t>
      </w:r>
    </w:p>
    <w:p>
      <w:pPr>
        <w:spacing w:before="200" w:after="200"/>
        <w:jc w:val="center"/>
      </w:pPr>
      <w:r>
        <w:rPr>
          <w:rFonts w:ascii="Courier New" w:cs="Courier New" w:eastAsia="Courier New" w:hAnsi="Courier New"/>
          <w:i/>
          <w:iCs/>
          <w:sz w:val="22"/>
          <w:szCs w:val="22"/>
        </w:rPr>
        <w:t xml:space="preserve">σ = 0.991          (coupling constant)</w:t>
      </w:r>
    </w:p>
    <w:p>
      <w:pPr>
        <w:spacing w:before="200" w:after="200"/>
        <w:jc w:val="center"/>
      </w:pPr>
      <w:r>
        <w:rPr>
          <w:rFonts w:ascii="Courier New" w:cs="Courier New" w:eastAsia="Courier New" w:hAnsi="Courier New"/>
          <w:i/>
          <w:iCs/>
          <w:sz w:val="22"/>
          <w:szCs w:val="22"/>
        </w:rPr>
        <w:t xml:space="preserve">σ* = σ/(1+σ) ≈ 0.498  (self-coupling)</w:t>
      </w:r>
    </w:p>
    <w:p>
      <w:pPr>
        <w:spacing w:before="200" w:after="200"/>
        <w:jc w:val="center"/>
      </w:pPr>
      <w:r>
        <w:rPr>
          <w:rFonts w:ascii="Courier New" w:cs="Courier New" w:eastAsia="Courier New" w:hAnsi="Courier New"/>
          <w:i/>
          <w:iCs/>
          <w:sz w:val="22"/>
          <w:szCs w:val="22"/>
        </w:rPr>
        <w:t xml:space="preserve">V ∈ [0, 1]         (vitality — internal health)</w:t>
      </w:r>
    </w:p>
    <w:p>
      <w:pPr>
        <w:spacing w:before="200" w:after="200"/>
        <w:jc w:val="center"/>
      </w:pPr>
      <w:r>
        <w:rPr>
          <w:rFonts w:ascii="Courier New" w:cs="Courier New" w:eastAsia="Courier New" w:hAnsi="Courier New"/>
          <w:i/>
          <w:iCs/>
          <w:sz w:val="22"/>
          <w:szCs w:val="22"/>
        </w:rPr>
        <w:t xml:space="preserve">A ∈ [0, 1]         (alignment — contextual agreement)</w:t>
      </w:r>
    </w:p>
    <w:p>
      <w:pPr>
        <w:spacing w:before="200" w:after="200"/>
        <w:jc w:val="center"/>
      </w:pPr>
      <w:r>
        <w:rPr>
          <w:rFonts w:ascii="Courier New" w:cs="Courier New" w:eastAsia="Courier New" w:hAnsi="Courier New"/>
          <w:i/>
          <w:iCs/>
          <w:sz w:val="22"/>
          <w:szCs w:val="22"/>
        </w:rPr>
        <w:t xml:space="preserve">T* = 5/7 ≈ 0.714   (critical coherence threshold)</w:t>
      </w:r>
    </w:p>
    <w:p>
      <w:pPr>
        <w:spacing w:after="200" w:line="276"/>
        <w:jc w:val="both"/>
      </w:pPr>
      <w:r>
        <w:rPr>
          <w:rFonts w:ascii="Times New Roman" w:cs="Times New Roman" w:eastAsia="Times New Roman" w:hAnsi="Times New Roman"/>
          <w:sz w:val="22"/>
          <w:szCs w:val="22"/>
        </w:rPr>
        <w:t xml:space="preserve">The pre-factor σ(1 − σ*) = 0.991 × 0.502 ≈ 0.4975. When V = A = 1 (perfect coherence), S* ≈ 0.498 in raw units. The normalized score maps this to S* = 1.0, with the threshold at T* = 5/7 of the normalized range.</w:t>
      </w:r>
    </w:p>
    <w:p>
      <w:pPr>
        <w:pStyle w:val="Heading2"/>
        <w:spacing w:before="360" w:after="200"/>
      </w:pPr>
      <w:r>
        <w:rPr>
          <w:rFonts w:ascii="Times New Roman" w:cs="Times New Roman" w:eastAsia="Times New Roman" w:hAnsi="Times New Roman"/>
          <w:b/>
          <w:bCs/>
          <w:sz w:val="24"/>
          <w:szCs w:val="24"/>
        </w:rPr>
        <w:t xml:space="preserve">6.1 Properties</w:t>
      </w:r>
    </w:p>
    <w:p>
      <w:pPr>
        <w:spacing w:after="200" w:line="276"/>
        <w:jc w:val="both"/>
      </w:pPr>
      <w:r>
        <w:rPr>
          <w:rFonts w:ascii="Times New Roman" w:cs="Times New Roman" w:eastAsia="Times New Roman" w:hAnsi="Times New Roman"/>
          <w:b/>
          <w:bCs/>
          <w:sz w:val="22"/>
          <w:szCs w:val="22"/>
        </w:rPr>
        <w:t xml:space="preserve">Boundedness: </w:t>
      </w:r>
      <w:r>
        <w:rPr>
          <w:rFonts w:ascii="Times New Roman" w:cs="Times New Roman" w:eastAsia="Times New Roman" w:hAnsi="Times New Roman"/>
          <w:sz w:val="22"/>
          <w:szCs w:val="22"/>
        </w:rPr>
        <w:t xml:space="preserve">S* ∈ [0, 1] by construction, since V, A ∈ [0, 1] and σ(1 − σ*) &lt; 1.</w:t>
      </w:r>
    </w:p>
    <w:p>
      <w:pPr>
        <w:spacing w:after="200" w:line="276"/>
        <w:jc w:val="both"/>
      </w:pPr>
      <w:r>
        <w:rPr>
          <w:rFonts w:ascii="Times New Roman" w:cs="Times New Roman" w:eastAsia="Times New Roman" w:hAnsi="Times New Roman"/>
          <w:b/>
          <w:bCs/>
          <w:sz w:val="22"/>
          <w:szCs w:val="22"/>
        </w:rPr>
        <w:t xml:space="preserve">Monotonicity: </w:t>
      </w:r>
      <w:r>
        <w:rPr>
          <w:rFonts w:ascii="Times New Roman" w:cs="Times New Roman" w:eastAsia="Times New Roman" w:hAnsi="Times New Roman"/>
          <w:sz w:val="22"/>
          <w:szCs w:val="22"/>
        </w:rPr>
        <w:t xml:space="preserve">∂S*/∂V &gt; 0 and ∂S*/∂A &gt; 0. Coherence increases with both vitality and alignment.</w:t>
      </w:r>
    </w:p>
    <w:p>
      <w:pPr>
        <w:spacing w:after="200" w:line="276"/>
        <w:jc w:val="both"/>
      </w:pPr>
      <w:r>
        <w:rPr>
          <w:rFonts w:ascii="Times New Roman" w:cs="Times New Roman" w:eastAsia="Times New Roman" w:hAnsi="Times New Roman"/>
          <w:b/>
          <w:bCs/>
          <w:sz w:val="22"/>
          <w:szCs w:val="22"/>
        </w:rPr>
        <w:t xml:space="preserve">Symmetry: </w:t>
      </w:r>
      <w:r>
        <w:rPr>
          <w:rFonts w:ascii="Times New Roman" w:cs="Times New Roman" w:eastAsia="Times New Roman" w:hAnsi="Times New Roman"/>
          <w:sz w:val="22"/>
          <w:szCs w:val="22"/>
        </w:rPr>
        <w:t xml:space="preserve">S* is symmetric in V and A: S*(V, A) = S*(A, V). This reflects the TIG principle that internal health and external alignment are equally important.</w:t>
      </w:r>
    </w:p>
    <w:p>
      <w:pPr>
        <w:spacing w:after="200" w:line="276"/>
        <w:jc w:val="both"/>
      </w:pPr>
      <w:r>
        <w:rPr>
          <w:rFonts w:ascii="Times New Roman" w:cs="Times New Roman" w:eastAsia="Times New Roman" w:hAnsi="Times New Roman"/>
          <w:b/>
          <w:bCs/>
          <w:sz w:val="22"/>
          <w:szCs w:val="22"/>
        </w:rPr>
        <w:t xml:space="preserve">Zero dominance: </w:t>
      </w:r>
      <w:r>
        <w:rPr>
          <w:rFonts w:ascii="Times New Roman" w:cs="Times New Roman" w:eastAsia="Times New Roman" w:hAnsi="Times New Roman"/>
          <w:sz w:val="22"/>
          <w:szCs w:val="22"/>
        </w:rPr>
        <w:t xml:space="preserve">If V = 0 or A = 0, then S* = 0 regardless of the other factor. Complete failure in either dimension is complete decoherence.</w:t>
      </w:r>
    </w:p>
    <w:p>
      <w:pPr>
        <w:spacing w:after="200" w:line="276"/>
        <w:jc w:val="both"/>
      </w:pPr>
      <w:r>
        <w:rPr>
          <w:rFonts w:ascii="Times New Roman" w:cs="Times New Roman" w:eastAsia="Times New Roman" w:hAnsi="Times New Roman"/>
          <w:b/>
          <w:bCs/>
          <w:sz w:val="22"/>
          <w:szCs w:val="22"/>
        </w:rPr>
        <w:t xml:space="preserve">Sub-unity ceiling: </w:t>
      </w:r>
      <w:r>
        <w:rPr>
          <w:rFonts w:ascii="Times New Roman" w:cs="Times New Roman" w:eastAsia="Times New Roman" w:hAnsi="Times New Roman"/>
          <w:sz w:val="22"/>
          <w:szCs w:val="22"/>
        </w:rPr>
        <w:t xml:space="preserve">max(S*) = σ(1 − σ*) &lt; 1. No system achieves perfect coherence. The gap (1 − σ(1 − σ*)) ≈ 0.5025 is the Gödelian residual.</w:t>
      </w:r>
    </w:p>
    <w:p>
      <w:pPr>
        <w:pStyle w:val="Heading1"/>
        <w:spacing w:before="360" w:after="200"/>
      </w:pPr>
      <w:r>
        <w:rPr>
          <w:rFonts w:ascii="Times New Roman" w:cs="Times New Roman" w:eastAsia="Times New Roman" w:hAnsi="Times New Roman"/>
          <w:b/>
          <w:bCs/>
          <w:sz w:val="28"/>
          <w:szCs w:val="28"/>
        </w:rPr>
        <w:t xml:space="preserve">7. Physical Interpretation</w:t>
      </w:r>
    </w:p>
    <w:p>
      <w:pPr>
        <w:spacing w:after="200" w:line="276"/>
        <w:jc w:val="both"/>
      </w:pPr>
      <w:r>
        <w:rPr>
          <w:rFonts w:ascii="Times New Roman" w:cs="Times New Roman" w:eastAsia="Times New Roman" w:hAnsi="Times New Roman"/>
          <w:sz w:val="22"/>
          <w:szCs w:val="22"/>
        </w:rPr>
        <w:t xml:space="preserve">The coherence field equation describes a scalar field S* over any system’s state space. The field has a critical value T* = 5/7 that divides the state space into two phases:</w:t>
      </w:r>
    </w:p>
    <w:p>
      <w:pPr>
        <w:spacing w:after="200" w:line="276"/>
        <w:jc w:val="both"/>
      </w:pPr>
      <w:r>
        <w:rPr>
          <w:rFonts w:ascii="Times New Roman" w:cs="Times New Roman" w:eastAsia="Times New Roman" w:hAnsi="Times New Roman"/>
          <w:b/>
          <w:bCs/>
          <w:sz w:val="22"/>
          <w:szCs w:val="22"/>
        </w:rPr>
        <w:t xml:space="preserve">Coherent phase (S* &gt; T*): </w:t>
      </w:r>
      <w:r>
        <w:rPr>
          <w:rFonts w:ascii="Times New Roman" w:cs="Times New Roman" w:eastAsia="Times New Roman" w:hAnsi="Times New Roman"/>
          <w:sz w:val="22"/>
          <w:szCs w:val="22"/>
        </w:rPr>
        <w:t xml:space="preserve">The system is self-healing. Perturbations are absorbed and corrected by the coherence field’s coupling between neighbors. This is the regime of resilience, homeostasis, and stable operation.</w:t>
      </w:r>
    </w:p>
    <w:p>
      <w:pPr>
        <w:spacing w:after="200" w:line="276"/>
        <w:jc w:val="both"/>
      </w:pPr>
      <w:r>
        <w:rPr>
          <w:rFonts w:ascii="Times New Roman" w:cs="Times New Roman" w:eastAsia="Times New Roman" w:hAnsi="Times New Roman"/>
          <w:b/>
          <w:bCs/>
          <w:sz w:val="22"/>
          <w:szCs w:val="22"/>
        </w:rPr>
        <w:t xml:space="preserve">Decoherent phase (S* &lt; T*): </w:t>
      </w:r>
      <w:r>
        <w:rPr>
          <w:rFonts w:ascii="Times New Roman" w:cs="Times New Roman" w:eastAsia="Times New Roman" w:hAnsi="Times New Roman"/>
          <w:sz w:val="22"/>
          <w:szCs w:val="22"/>
        </w:rPr>
        <w:t xml:space="preserve">The system is cascade-vulnerable. Perturbations propagate through the coupling, amplifying rather than damping. This is the regime of failure cascades, ecological collapse, and system breakdown.</w:t>
      </w:r>
    </w:p>
    <w:p>
      <w:pPr>
        <w:spacing w:after="200" w:line="276"/>
        <w:jc w:val="both"/>
      </w:pPr>
      <w:r>
        <w:rPr>
          <w:rFonts w:ascii="Times New Roman" w:cs="Times New Roman" w:eastAsia="Times New Roman" w:hAnsi="Times New Roman"/>
          <w:sz w:val="22"/>
          <w:szCs w:val="22"/>
        </w:rPr>
        <w:t xml:space="preserve">The transition at T* is not discontinuous but exhibits critical slowing — as the system approaches T* from above, its recovery time increases, providing an early warning signature. This is consistent with critical transitions in complex systems (Scheffer et al., 2009) and suggests that T* may be detectable as a universal early warning indicator.</w:t>
      </w:r>
    </w:p>
    <w:p>
      <w:pPr>
        <w:pStyle w:val="Heading1"/>
        <w:spacing w:before="360" w:after="200"/>
      </w:pPr>
      <w:r>
        <w:rPr>
          <w:rFonts w:ascii="Times New Roman" w:cs="Times New Roman" w:eastAsia="Times New Roman" w:hAnsi="Times New Roman"/>
          <w:b/>
          <w:bCs/>
          <w:sz w:val="28"/>
          <w:szCs w:val="28"/>
        </w:rPr>
        <w:t xml:space="preserve">8. Discussion and Limitations</w:t>
      </w:r>
    </w:p>
    <w:p>
      <w:pPr>
        <w:spacing w:after="200" w:line="276"/>
        <w:jc w:val="both"/>
      </w:pPr>
      <w:r>
        <w:rPr>
          <w:rFonts w:ascii="Times New Roman" w:cs="Times New Roman" w:eastAsia="Times New Roman" w:hAnsi="Times New Roman"/>
          <w:sz w:val="22"/>
          <w:szCs w:val="22"/>
        </w:rPr>
        <w:t xml:space="preserve">Several aspects of this derivation merit discussion. First, the coupling constant σ = 0.991 is derived from the operator algebra’s structure, not fitted to data. This is both a strength (it makes the theory predictive rather than descriptive) and a limitation (if the operator algebra is modified, σ changes). Paper II examines the operator algebra’s uniqueness.</w:t>
      </w:r>
    </w:p>
    <w:p>
      <w:pPr>
        <w:spacing w:after="200" w:line="276"/>
        <w:jc w:val="both"/>
      </w:pPr>
      <w:r>
        <w:rPr>
          <w:rFonts w:ascii="Times New Roman" w:cs="Times New Roman" w:eastAsia="Times New Roman" w:hAnsi="Times New Roman"/>
          <w:sz w:val="22"/>
          <w:szCs w:val="22"/>
        </w:rPr>
        <w:t xml:space="preserve">Second, the threshold T* = 5/7 is exact within the framework but depends on the specific 10-operator structure. The derivation shows that </w:t>
      </w:r>
      <w:r>
        <w:rPr>
          <w:rFonts w:ascii="Times New Roman" w:cs="Times New Roman" w:eastAsia="Times New Roman" w:hAnsi="Times New Roman"/>
          <w:i/>
          <w:iCs/>
          <w:sz w:val="22"/>
          <w:szCs w:val="22"/>
        </w:rPr>
        <w:t xml:space="preserve">any</w:t>
      </w:r>
      <w:r>
        <w:rPr>
          <w:rFonts w:ascii="Times New Roman" w:cs="Times New Roman" w:eastAsia="Times New Roman" w:hAnsi="Times New Roman"/>
          <w:sz w:val="22"/>
          <w:szCs w:val="22"/>
        </w:rPr>
        <w:t xml:space="preserve"> 10-operator algebra with the absorption and resolution properties described produces T* = 5/7. Whether alternative operator counts (e.g., 12, 7) produce different thresholds is an open question explored in Paper II.</w:t>
      </w:r>
    </w:p>
    <w:p>
      <w:pPr>
        <w:spacing w:after="200" w:line="276"/>
        <w:jc w:val="both"/>
      </w:pPr>
      <w:r>
        <w:rPr>
          <w:rFonts w:ascii="Times New Roman" w:cs="Times New Roman" w:eastAsia="Times New Roman" w:hAnsi="Times New Roman"/>
          <w:sz w:val="22"/>
          <w:szCs w:val="22"/>
        </w:rPr>
        <w:t xml:space="preserve">Third, the equation’s applicability across scales is a claim, not a proof. Paper IV provides computational validation from Ecological (4-node) through Unified (12-node) scales, and Paper V demonstrates a practical application in distributed systems routing. The framework’s ultimate validation requires experimental test across physical systems.</w:t>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276"/>
        <w:jc w:val="both"/>
      </w:pPr>
      <w:r>
        <w:rPr>
          <w:rFonts w:ascii="Times New Roman" w:cs="Times New Roman" w:eastAsia="Times New Roman" w:hAnsi="Times New Roman"/>
          <w:sz w:val="22"/>
          <w:szCs w:val="22"/>
        </w:rPr>
        <w:t xml:space="preserve">Albert, R., Jeong, H., &amp; Barabási, A.-L. (2000). Error and attack tolerance of complex networks. </w:t>
      </w:r>
      <w:r>
        <w:rPr>
          <w:rFonts w:ascii="Times New Roman" w:cs="Times New Roman" w:eastAsia="Times New Roman" w:hAnsi="Times New Roman"/>
          <w:i/>
          <w:iCs/>
          <w:sz w:val="22"/>
          <w:szCs w:val="22"/>
        </w:rPr>
        <w:t xml:space="preserve">Nature</w:t>
      </w:r>
      <w:r>
        <w:rPr>
          <w:rFonts w:ascii="Times New Roman" w:cs="Times New Roman" w:eastAsia="Times New Roman" w:hAnsi="Times New Roman"/>
          <w:sz w:val="22"/>
          <w:szCs w:val="22"/>
        </w:rPr>
        <w:t xml:space="preserve">, 406(6794), 378–382.</w:t>
      </w:r>
    </w:p>
    <w:p>
      <w:pPr>
        <w:spacing w:after="200" w:line="276"/>
        <w:jc w:val="both"/>
      </w:pPr>
      <w:r>
        <w:rPr>
          <w:rFonts w:ascii="Times New Roman" w:cs="Times New Roman" w:eastAsia="Times New Roman" w:hAnsi="Times New Roman"/>
          <w:sz w:val="22"/>
          <w:szCs w:val="22"/>
        </w:rPr>
        <w:t xml:space="preserve">Baumgratz, T., Cramer, M., &amp; Plenio, M. B. (2014). Quantifying coherence. </w:t>
      </w:r>
      <w:r>
        <w:rPr>
          <w:rFonts w:ascii="Times New Roman" w:cs="Times New Roman" w:eastAsia="Times New Roman" w:hAnsi="Times New Roman"/>
          <w:i/>
          <w:iCs/>
          <w:sz w:val="22"/>
          <w:szCs w:val="22"/>
        </w:rPr>
        <w:t xml:space="preserve">Physical Review Letters</w:t>
      </w:r>
      <w:r>
        <w:rPr>
          <w:rFonts w:ascii="Times New Roman" w:cs="Times New Roman" w:eastAsia="Times New Roman" w:hAnsi="Times New Roman"/>
          <w:sz w:val="22"/>
          <w:szCs w:val="22"/>
        </w:rPr>
        <w:t xml:space="preserve">, 113(14), 140401.</w:t>
      </w:r>
    </w:p>
    <w:p>
      <w:pPr>
        <w:spacing w:after="200" w:line="276"/>
        <w:jc w:val="both"/>
      </w:pPr>
      <w:r>
        <w:rPr>
          <w:rFonts w:ascii="Times New Roman" w:cs="Times New Roman" w:eastAsia="Times New Roman" w:hAnsi="Times New Roman"/>
          <w:sz w:val="22"/>
          <w:szCs w:val="22"/>
        </w:rPr>
        <w:t xml:space="preserve">Scheffer, M., et al. (2009). Early-warning signals for critical transitions. </w:t>
      </w:r>
      <w:r>
        <w:rPr>
          <w:rFonts w:ascii="Times New Roman" w:cs="Times New Roman" w:eastAsia="Times New Roman" w:hAnsi="Times New Roman"/>
          <w:i/>
          <w:iCs/>
          <w:sz w:val="22"/>
          <w:szCs w:val="22"/>
        </w:rPr>
        <w:t xml:space="preserve">Nature</w:t>
      </w:r>
      <w:r>
        <w:rPr>
          <w:rFonts w:ascii="Times New Roman" w:cs="Times New Roman" w:eastAsia="Times New Roman" w:hAnsi="Times New Roman"/>
          <w:sz w:val="22"/>
          <w:szCs w:val="22"/>
        </w:rPr>
        <w:t xml:space="preserve">, 461(7260), 53–59.</w:t>
      </w:r>
    </w:p>
    <w:p>
      <w:pPr>
        <w:spacing w:after="200" w:line="276"/>
        <w:jc w:val="both"/>
      </w:pPr>
      <w:r>
        <w:rPr>
          <w:rFonts w:ascii="Times New Roman" w:cs="Times New Roman" w:eastAsia="Times New Roman" w:hAnsi="Times New Roman"/>
          <w:sz w:val="22"/>
          <w:szCs w:val="22"/>
        </w:rPr>
        <w:t xml:space="preserve">Ulanowicz, R. E. (1986). </w:t>
      </w:r>
      <w:r>
        <w:rPr>
          <w:rFonts w:ascii="Times New Roman" w:cs="Times New Roman" w:eastAsia="Times New Roman" w:hAnsi="Times New Roman"/>
          <w:i/>
          <w:iCs/>
          <w:sz w:val="22"/>
          <w:szCs w:val="22"/>
        </w:rPr>
        <w:t xml:space="preserve">Growth and Development: Ecosystems Phenomenology</w:t>
      </w:r>
      <w:r>
        <w:rPr>
          <w:rFonts w:ascii="Times New Roman" w:cs="Times New Roman" w:eastAsia="Times New Roman" w:hAnsi="Times New Roman"/>
          <w:sz w:val="22"/>
          <w:szCs w:val="22"/>
        </w:rPr>
        <w:t xml:space="preserve">. Springer.</w:t>
      </w:r>
    </w:p>
    <w:p>
      <w:pPr>
        <w:spacing w:before="600"/>
        <w:jc w:val="center"/>
      </w:pPr>
      <w:r>
        <w:rPr>
          <w:rFonts w:ascii="Times New Roman" w:cs="Times New Roman" w:eastAsia="Times New Roman" w:hAnsi="Times New Roman"/>
          <w:i/>
          <w:iCs/>
          <w:color w:val="888888"/>
          <w:sz w:val="20"/>
          <w:szCs w:val="20"/>
        </w:rPr>
        <w:t xml:space="preserve">— End of Paper I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 2025 7Site LLC  |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TIG White Paper Series — Paper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2026-02-05T12:02:09.426Z</dcterms:created>
  <dcterms:modified xsi:type="dcterms:W3CDTF">2026-02-05T12:02:09.427Z</dcterms:modified>
</cp:coreProperties>
</file>

<file path=docProps/custom.xml><?xml version="1.0" encoding="utf-8"?>
<Properties xmlns="http://schemas.openxmlformats.org/officeDocument/2006/custom-properties" xmlns:vt="http://schemas.openxmlformats.org/officeDocument/2006/docPropsVTypes"/>
</file>