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Times New Roman" w:cs="Times New Roman" w:eastAsia="Times New Roman" w:hAnsi="Times New Roman"/>
          <w:b/>
          <w:bCs/>
          <w:color w:val="2C3E50"/>
          <w:sz w:val="40"/>
          <w:szCs w:val="40"/>
        </w:rPr>
        <w:t xml:space="preserve">TRINITY INFINITY GEOMETRY</w:t>
      </w:r>
    </w:p>
    <w:p>
      <w:pPr>
        <w:spacing w:after="100"/>
        <w:jc w:val="center"/>
      </w:pPr>
      <w:r>
        <w:rPr>
          <w:rFonts w:ascii="Times New Roman" w:cs="Times New Roman" w:eastAsia="Times New Roman" w:hAnsi="Times New Roman"/>
          <w:color w:val="7F8C8D"/>
          <w:sz w:val="28"/>
          <w:szCs w:val="28"/>
        </w:rPr>
        <w:t xml:space="preserve">White Paper Series — Paper II</w:t>
      </w:r>
    </w:p>
    <w:p>
      <w:pPr>
        <w:spacing w:after="600"/>
        <w:jc w:val="center"/>
      </w:pPr>
      <w:r>
        <w:rPr>
          <w:rFonts w:ascii="Times New Roman" w:cs="Times New Roman" w:eastAsia="Times New Roman" w:hAnsi="Times New Roman"/>
          <w:color w:val="BDC3C7"/>
          <w:sz w:val="20"/>
          <w:szCs w:val="20"/>
        </w:rPr>
        <w:t xml:space="preserve">────────────────────────────────────────</w:t>
      </w:r>
    </w:p>
    <w:p>
      <w:pPr>
        <w:spacing w:after="200"/>
        <w:jc w:val="center"/>
      </w:pPr>
      <w:r>
        <w:rPr>
          <w:rFonts w:ascii="Times New Roman" w:cs="Times New Roman" w:eastAsia="Times New Roman" w:hAnsi="Times New Roman"/>
          <w:b/>
          <w:bCs/>
          <w:sz w:val="36"/>
          <w:szCs w:val="36"/>
        </w:rPr>
        <w:t xml:space="preserve">The Operator Algebra:</w:t>
      </w:r>
    </w:p>
    <w:p>
      <w:pPr>
        <w:spacing w:after="200"/>
        <w:jc w:val="center"/>
      </w:pPr>
      <w:r>
        <w:rPr>
          <w:rFonts w:ascii="Times New Roman" w:cs="Times New Roman" w:eastAsia="Times New Roman" w:hAnsi="Times New Roman"/>
          <w:b/>
          <w:bCs/>
          <w:sz w:val="36"/>
          <w:szCs w:val="36"/>
        </w:rPr>
        <w:t xml:space="preserve">A Closed Composition System on Ten States</w:t>
      </w:r>
    </w:p>
    <w:p>
      <w:pPr>
        <w:spacing w:after="600"/>
      </w:pPr>
    </w:p>
    <w:p>
      <w:pPr>
        <w:jc w:val="center"/>
      </w:pPr>
      <w:r>
        <w:rPr>
          <w:rFonts w:ascii="Times New Roman" w:cs="Times New Roman" w:eastAsia="Times New Roman" w:hAnsi="Times New Roman"/>
          <w:sz w:val="24"/>
          <w:szCs w:val="24"/>
        </w:rPr>
        <w:t xml:space="preserve">Brayden</w:t>
      </w:r>
    </w:p>
    <w:p>
      <w:pPr>
        <w:jc w:val="center"/>
      </w:pPr>
      <w:r>
        <w:rPr>
          <w:rFonts w:ascii="Times New Roman" w:cs="Times New Roman" w:eastAsia="Times New Roman" w:hAnsi="Times New Roman"/>
          <w:color w:val="555555"/>
          <w:sz w:val="20"/>
          <w:szCs w:val="20"/>
        </w:rPr>
        <w:t xml:space="preserve">7Site LLC, Hot Springs Village, Arkansas</w:t>
      </w:r>
    </w:p>
    <w:p>
      <w:pPr>
        <w:spacing w:after="200"/>
        <w:jc w:val="center"/>
      </w:pPr>
      <w:r>
        <w:rPr>
          <w:rFonts w:ascii="Times New Roman" w:cs="Times New Roman" w:eastAsia="Times New Roman" w:hAnsi="Times New Roman"/>
          <w:color w:val="555555"/>
          <w:sz w:val="20"/>
          <w:szCs w:val="20"/>
        </w:rPr>
        <w:t xml:space="preserve">February 2026</w:t>
      </w:r>
    </w:p>
    <w:p>
      <w:r>
        <w:r>
          <w:br w:type="page"/>
        </w:r>
      </w:r>
    </w:p>
    <w:p>
      <w:pPr>
        <w:pStyle w:val="Heading1"/>
        <w:spacing w:before="360" w:after="200"/>
      </w:pPr>
      <w:r>
        <w:rPr>
          <w:rFonts w:ascii="Times New Roman" w:cs="Times New Roman" w:eastAsia="Times New Roman" w:hAnsi="Times New Roman"/>
          <w:b/>
          <w:bCs/>
          <w:sz w:val="28"/>
          <w:szCs w:val="28"/>
        </w:rPr>
        <w:t xml:space="preserve">Abstract</w:t>
      </w:r>
    </w:p>
    <w:p>
      <w:pPr>
        <w:spacing w:after="200" w:line="276"/>
        <w:jc w:val="both"/>
      </w:pPr>
      <w:r>
        <w:rPr>
          <w:rFonts w:ascii="Times New Roman" w:cs="Times New Roman" w:eastAsia="Times New Roman" w:hAnsi="Times New Roman"/>
          <w:sz w:val="22"/>
          <w:szCs w:val="22"/>
        </w:rPr>
        <w:t xml:space="preserve">We present the TIG operator algebra: a set of ten state operators {0, 1, 2, 3, 4, 5, 6, 7, 8, 9} that form a closed composition system governing state transitions in coherence lattices. We derive the full 10×10 composition table from first principles, prove closure, and demonstrate two emergent properties: (1) Chaos (operator 6) never compounds under composition — it always resolves toward Balance or Harmony, and (2) Harmony (operator 7) is absorptive — it preserves itself under most compositions. These are not design choices but mathematical consequences of the composition structure. We show that the algebra’s attractor dynamics generate the critical threshold T* = 5/7 derived in Paper I, and that the operator set is minimal: no proper subset reproduces the full algebra’s dynamical properties.</w:t>
      </w:r>
    </w:p>
    <w:p>
      <w:pPr>
        <w:pStyle w:val="Heading1"/>
        <w:spacing w:before="360" w:after="200"/>
      </w:pPr>
      <w:r>
        <w:rPr>
          <w:rFonts w:ascii="Times New Roman" w:cs="Times New Roman" w:eastAsia="Times New Roman" w:hAnsi="Times New Roman"/>
          <w:b/>
          <w:bCs/>
          <w:sz w:val="28"/>
          <w:szCs w:val="28"/>
        </w:rPr>
        <w:t xml:space="preserve">1. The Ten Operators</w:t>
      </w:r>
    </w:p>
    <w:p>
      <w:pPr>
        <w:spacing w:after="200" w:line="276"/>
        <w:jc w:val="both"/>
      </w:pPr>
      <w:r>
        <w:rPr>
          <w:rFonts w:ascii="Times New Roman" w:cs="Times New Roman" w:eastAsia="Times New Roman" w:hAnsi="Times New Roman"/>
          <w:sz w:val="22"/>
          <w:szCs w:val="22"/>
        </w:rPr>
        <w:t xml:space="preserve">TIG defines ten state operators, each governing a specific mode of system behavior. The operators are indexed 0 through 9 and named for their functional role:</w:t>
      </w:r>
    </w:p>
    <w:p>
      <w:pPr>
        <w:spacing w:before="200" w:after="200"/>
        <w:jc w:val="center"/>
      </w:pPr>
      <w:r>
        <w:rPr>
          <w:rFonts w:ascii="Courier New" w:cs="Courier New" w:eastAsia="Courier New" w:hAnsi="Courier New"/>
          <w:i/>
          <w:iCs/>
          <w:sz w:val="22"/>
          <w:szCs w:val="22"/>
        </w:rPr>
        <w:t xml:space="preserve">0: VOID     — Null state, uninitialized, absent</w:t>
      </w:r>
    </w:p>
    <w:p>
      <w:pPr>
        <w:spacing w:before="200" w:after="200"/>
        <w:jc w:val="center"/>
      </w:pPr>
      <w:r>
        <w:rPr>
          <w:rFonts w:ascii="Courier New" w:cs="Courier New" w:eastAsia="Courier New" w:hAnsi="Courier New"/>
          <w:i/>
          <w:iCs/>
          <w:sz w:val="22"/>
          <w:szCs w:val="22"/>
        </w:rPr>
        <w:t xml:space="preserve">1: LATTICE  — Structural baseline, connected but passive</w:t>
      </w:r>
    </w:p>
    <w:p>
      <w:pPr>
        <w:spacing w:before="200" w:after="200"/>
        <w:jc w:val="center"/>
      </w:pPr>
      <w:r>
        <w:rPr>
          <w:rFonts w:ascii="Courier New" w:cs="Courier New" w:eastAsia="Courier New" w:hAnsi="Courier New"/>
          <w:i/>
          <w:iCs/>
          <w:sz w:val="22"/>
          <w:szCs w:val="22"/>
        </w:rPr>
        <w:t xml:space="preserve">2: COUNTER  — Opposing force, resistance, load pressure</w:t>
      </w:r>
    </w:p>
    <w:p>
      <w:pPr>
        <w:spacing w:before="200" w:after="200"/>
        <w:jc w:val="center"/>
      </w:pPr>
      <w:r>
        <w:rPr>
          <w:rFonts w:ascii="Courier New" w:cs="Courier New" w:eastAsia="Courier New" w:hAnsi="Courier New"/>
          <w:i/>
          <w:iCs/>
          <w:sz w:val="22"/>
          <w:szCs w:val="22"/>
        </w:rPr>
        <w:t xml:space="preserve">3: PROGRESS — Forward motion, throughput, healthy flow</w:t>
      </w:r>
    </w:p>
    <w:p>
      <w:pPr>
        <w:spacing w:before="200" w:after="200"/>
        <w:jc w:val="center"/>
      </w:pPr>
      <w:r>
        <w:rPr>
          <w:rFonts w:ascii="Courier New" w:cs="Courier New" w:eastAsia="Courier New" w:hAnsi="Courier New"/>
          <w:i/>
          <w:iCs/>
          <w:sz w:val="22"/>
          <w:szCs w:val="22"/>
        </w:rPr>
        <w:t xml:space="preserve">4: COLLAPSE — Failure state, degraded, non-functional</w:t>
      </w:r>
    </w:p>
    <w:p>
      <w:pPr>
        <w:spacing w:before="200" w:after="200"/>
        <w:jc w:val="center"/>
      </w:pPr>
      <w:r>
        <w:rPr>
          <w:rFonts w:ascii="Courier New" w:cs="Courier New" w:eastAsia="Courier New" w:hAnsi="Courier New"/>
          <w:i/>
          <w:iCs/>
          <w:sz w:val="22"/>
          <w:szCs w:val="22"/>
        </w:rPr>
        <w:t xml:space="preserve">5: BALANCE  — Equilibrium, stable, poised</w:t>
      </w:r>
    </w:p>
    <w:p>
      <w:pPr>
        <w:spacing w:before="200" w:after="200"/>
        <w:jc w:val="center"/>
      </w:pPr>
      <w:r>
        <w:rPr>
          <w:rFonts w:ascii="Courier New" w:cs="Courier New" w:eastAsia="Courier New" w:hAnsi="Courier New"/>
          <w:i/>
          <w:iCs/>
          <w:sz w:val="22"/>
          <w:szCs w:val="22"/>
        </w:rPr>
        <w:t xml:space="preserve">6: CHAOS    — Unpredictable, thrashing, disordered</w:t>
      </w:r>
    </w:p>
    <w:p>
      <w:pPr>
        <w:spacing w:before="200" w:after="200"/>
        <w:jc w:val="center"/>
      </w:pPr>
      <w:r>
        <w:rPr>
          <w:rFonts w:ascii="Courier New" w:cs="Courier New" w:eastAsia="Courier New" w:hAnsi="Courier New"/>
          <w:i/>
          <w:iCs/>
          <w:sz w:val="22"/>
          <w:szCs w:val="22"/>
        </w:rPr>
        <w:t xml:space="preserve">7: HARMONY  — Optimal coherence, peak aligned state</w:t>
      </w:r>
    </w:p>
    <w:p>
      <w:pPr>
        <w:spacing w:before="200" w:after="200"/>
        <w:jc w:val="center"/>
      </w:pPr>
      <w:r>
        <w:rPr>
          <w:rFonts w:ascii="Courier New" w:cs="Courier New" w:eastAsia="Courier New" w:hAnsi="Courier New"/>
          <w:i/>
          <w:iCs/>
          <w:sz w:val="22"/>
          <w:szCs w:val="22"/>
        </w:rPr>
        <w:t xml:space="preserve">8: BREATH   — Oscillatory recovery, adaptive pause</w:t>
      </w:r>
    </w:p>
    <w:p>
      <w:pPr>
        <w:spacing w:before="200" w:after="200"/>
        <w:jc w:val="center"/>
      </w:pPr>
      <w:r>
        <w:rPr>
          <w:rFonts w:ascii="Courier New" w:cs="Courier New" w:eastAsia="Courier New" w:hAnsi="Courier New"/>
          <w:i/>
          <w:iCs/>
          <w:sz w:val="22"/>
          <w:szCs w:val="22"/>
        </w:rPr>
        <w:t xml:space="preserve">9: RESET    — Full reinitialization, return to origin</w:t>
      </w:r>
    </w:p>
    <w:p>
      <w:pPr>
        <w:spacing w:after="200" w:line="276"/>
        <w:jc w:val="both"/>
      </w:pPr>
      <w:r>
        <w:rPr>
          <w:rFonts w:ascii="Times New Roman" w:cs="Times New Roman" w:eastAsia="Times New Roman" w:hAnsi="Times New Roman"/>
          <w:sz w:val="22"/>
          <w:szCs w:val="22"/>
        </w:rPr>
        <w:t xml:space="preserve">The operators are not arbitrary labels. They are derived from the minimal set of dynamical modes required to describe a system’s trajectory through coherence space. The derivation follows from the fractal premise (Axiom 1, Paper I): every system has three scales, each of which can be in one of three fundamental states (healthy, degraded, transitional), plus a null state. This gives 3³ + 1 = 28 raw states, which reduce to 10 equivalence classes under the symmetry group of the fractal premise.</w:t>
      </w:r>
    </w:p>
    <w:p>
      <w:pPr>
        <w:pStyle w:val="Heading1"/>
        <w:spacing w:before="360" w:after="200"/>
      </w:pPr>
      <w:r>
        <w:rPr>
          <w:rFonts w:ascii="Times New Roman" w:cs="Times New Roman" w:eastAsia="Times New Roman" w:hAnsi="Times New Roman"/>
          <w:b/>
          <w:bCs/>
          <w:sz w:val="28"/>
          <w:szCs w:val="28"/>
        </w:rPr>
        <w:t xml:space="preserve">2. The Composition Table</w:t>
      </w:r>
    </w:p>
    <w:p>
      <w:pPr>
        <w:spacing w:after="200" w:line="276"/>
        <w:jc w:val="both"/>
      </w:pPr>
      <w:r>
        <w:rPr>
          <w:rFonts w:ascii="Times New Roman" w:cs="Times New Roman" w:eastAsia="Times New Roman" w:hAnsi="Times New Roman"/>
          <w:sz w:val="22"/>
          <w:szCs w:val="22"/>
        </w:rPr>
        <w:t xml:space="preserve">The composition operation ∘ is defined as: for operators i and j, the composition i ∘ j is the state that results from applying operator j to a system currently in state i. The full table is:</w:t>
      </w:r>
    </w:p>
    <w:p>
      <w:pPr>
        <w:spacing w:before="200" w:after="100"/>
        <w:jc w:val="center"/>
      </w:pPr>
      <w:r>
        <w:rPr>
          <w:rFonts w:ascii="Times New Roman" w:cs="Times New Roman" w:eastAsia="Times New Roman" w:hAnsi="Times New Roman"/>
          <w:b/>
          <w:bCs/>
          <w:sz w:val="18"/>
          <w:szCs w:val="18"/>
        </w:rPr>
        <w:t xml:space="preserve">Table 1: Operator Composition Table (i ∘ 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936"/>
        <w:gridCol w:w="936"/>
        <w:gridCol w:w="936"/>
        <w:gridCol w:w="936"/>
        <w:gridCol w:w="936"/>
        <w:gridCol w:w="936"/>
        <w:gridCol w:w="936"/>
        <w:gridCol w:w="936"/>
        <w:gridCol w:w="936"/>
        <w:gridCol w:w="936"/>
      </w:tblGrid>
      <w:tr>
        <w:tc>
          <w:tcPr>
            <w:tcW w:type="dxa" w:w="936"/>
            <w:tcBorders>
              <w:top w:val="single" w:color="999999" w:sz="1"/>
              <w:left w:val="single" w:color="999999" w:sz="1"/>
              <w:bottom w:val="single" w:color="999999" w:sz="1"/>
              <w:right w:val="single" w:color="999999" w:sz="1"/>
            </w:tcBorders>
            <w:shd w:fill="2C3E5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6"/>
                <w:szCs w:val="16"/>
              </w:rPr>
              <w:t xml:space="preserve">∘</w:t>
            </w:r>
          </w:p>
        </w:tc>
        <w:tc>
          <w:tcPr>
            <w:tcW w:type="dxa" w:w="936"/>
            <w:tcBorders>
              <w:top w:val="single" w:color="999999" w:sz="1"/>
              <w:left w:val="single" w:color="999999" w:sz="1"/>
              <w:bottom w:val="single" w:color="999999" w:sz="1"/>
              <w:right w:val="single" w:color="999999" w:sz="1"/>
            </w:tcBorders>
            <w:shd w:fill="2C3E5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6"/>
                <w:szCs w:val="16"/>
              </w:rPr>
              <w:t xml:space="preserve">V(0)</w:t>
            </w:r>
          </w:p>
        </w:tc>
        <w:tc>
          <w:tcPr>
            <w:tcW w:type="dxa" w:w="936"/>
            <w:tcBorders>
              <w:top w:val="single" w:color="999999" w:sz="1"/>
              <w:left w:val="single" w:color="999999" w:sz="1"/>
              <w:bottom w:val="single" w:color="999999" w:sz="1"/>
              <w:right w:val="single" w:color="999999" w:sz="1"/>
            </w:tcBorders>
            <w:shd w:fill="2C3E5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6"/>
                <w:szCs w:val="16"/>
              </w:rPr>
              <w:t xml:space="preserve">L(1)</w:t>
            </w:r>
          </w:p>
        </w:tc>
        <w:tc>
          <w:tcPr>
            <w:tcW w:type="dxa" w:w="936"/>
            <w:tcBorders>
              <w:top w:val="single" w:color="999999" w:sz="1"/>
              <w:left w:val="single" w:color="999999" w:sz="1"/>
              <w:bottom w:val="single" w:color="999999" w:sz="1"/>
              <w:right w:val="single" w:color="999999" w:sz="1"/>
            </w:tcBorders>
            <w:shd w:fill="2C3E5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6"/>
                <w:szCs w:val="16"/>
              </w:rPr>
              <w:t xml:space="preserve">C(2)</w:t>
            </w:r>
          </w:p>
        </w:tc>
        <w:tc>
          <w:tcPr>
            <w:tcW w:type="dxa" w:w="936"/>
            <w:tcBorders>
              <w:top w:val="single" w:color="999999" w:sz="1"/>
              <w:left w:val="single" w:color="999999" w:sz="1"/>
              <w:bottom w:val="single" w:color="999999" w:sz="1"/>
              <w:right w:val="single" w:color="999999" w:sz="1"/>
            </w:tcBorders>
            <w:shd w:fill="2C3E5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6"/>
                <w:szCs w:val="16"/>
              </w:rPr>
              <w:t xml:space="preserve">P(3)</w:t>
            </w:r>
          </w:p>
        </w:tc>
        <w:tc>
          <w:tcPr>
            <w:tcW w:type="dxa" w:w="936"/>
            <w:tcBorders>
              <w:top w:val="single" w:color="999999" w:sz="1"/>
              <w:left w:val="single" w:color="999999" w:sz="1"/>
              <w:bottom w:val="single" w:color="999999" w:sz="1"/>
              <w:right w:val="single" w:color="999999" w:sz="1"/>
            </w:tcBorders>
            <w:shd w:fill="2C3E5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6"/>
                <w:szCs w:val="16"/>
              </w:rPr>
              <w:t xml:space="preserve">X(4)</w:t>
            </w:r>
          </w:p>
        </w:tc>
        <w:tc>
          <w:tcPr>
            <w:tcW w:type="dxa" w:w="936"/>
            <w:tcBorders>
              <w:top w:val="single" w:color="999999" w:sz="1"/>
              <w:left w:val="single" w:color="999999" w:sz="1"/>
              <w:bottom w:val="single" w:color="999999" w:sz="1"/>
              <w:right w:val="single" w:color="999999" w:sz="1"/>
            </w:tcBorders>
            <w:shd w:fill="2C3E5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6"/>
                <w:szCs w:val="16"/>
              </w:rPr>
              <w:t xml:space="preserve">B(5)</w:t>
            </w:r>
          </w:p>
        </w:tc>
        <w:tc>
          <w:tcPr>
            <w:tcW w:type="dxa" w:w="936"/>
            <w:tcBorders>
              <w:top w:val="single" w:color="999999" w:sz="1"/>
              <w:left w:val="single" w:color="999999" w:sz="1"/>
              <w:bottom w:val="single" w:color="999999" w:sz="1"/>
              <w:right w:val="single" w:color="999999" w:sz="1"/>
            </w:tcBorders>
            <w:shd w:fill="2C3E5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6"/>
                <w:szCs w:val="16"/>
              </w:rPr>
              <w:t xml:space="preserve">Ch(6)</w:t>
            </w:r>
          </w:p>
        </w:tc>
        <w:tc>
          <w:tcPr>
            <w:tcW w:type="dxa" w:w="936"/>
            <w:tcBorders>
              <w:top w:val="single" w:color="999999" w:sz="1"/>
              <w:left w:val="single" w:color="999999" w:sz="1"/>
              <w:bottom w:val="single" w:color="999999" w:sz="1"/>
              <w:right w:val="single" w:color="999999" w:sz="1"/>
            </w:tcBorders>
            <w:shd w:fill="2C3E5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6"/>
                <w:szCs w:val="16"/>
              </w:rPr>
              <w:t xml:space="preserve">H(7)</w:t>
            </w:r>
          </w:p>
        </w:tc>
        <w:tc>
          <w:tcPr>
            <w:tcW w:type="dxa" w:w="936"/>
            <w:tcBorders>
              <w:top w:val="single" w:color="999999" w:sz="1"/>
              <w:left w:val="single" w:color="999999" w:sz="1"/>
              <w:bottom w:val="single" w:color="999999" w:sz="1"/>
              <w:right w:val="single" w:color="999999" w:sz="1"/>
            </w:tcBorders>
            <w:shd w:fill="2C3E5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6"/>
                <w:szCs w:val="16"/>
              </w:rPr>
              <w:t xml:space="preserve">Br(8)</w:t>
            </w:r>
          </w:p>
        </w:tc>
        <w:tc>
          <w:tcPr>
            <w:tcW w:type="dxa" w:w="936"/>
            <w:tcBorders>
              <w:top w:val="single" w:color="999999" w:sz="1"/>
              <w:left w:val="single" w:color="999999" w:sz="1"/>
              <w:bottom w:val="single" w:color="999999" w:sz="1"/>
              <w:right w:val="single" w:color="999999" w:sz="1"/>
            </w:tcBorders>
            <w:shd w:fill="2C3E5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6"/>
                <w:szCs w:val="16"/>
              </w:rPr>
              <w:t xml:space="preserve">R(9)</w:t>
            </w:r>
          </w:p>
        </w:tc>
      </w:tr>
      <w:tr>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V(0)</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0</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1</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0</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0</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0</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0</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0</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0</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0</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0</w:t>
            </w:r>
          </w:p>
        </w:tc>
      </w:tr>
      <w:tr>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L(1)</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1</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1</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2</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3</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4</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5</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2</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7</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8</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1</w:t>
            </w:r>
          </w:p>
        </w:tc>
      </w:tr>
      <w:tr>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C(2)</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0</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2</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4</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5</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4</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3</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4</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5</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8</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1</w:t>
            </w:r>
          </w:p>
        </w:tc>
      </w:tr>
      <w:tr>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P(3)</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0</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3</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5</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3</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4</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5</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4</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7</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8</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1</w:t>
            </w:r>
          </w:p>
        </w:tc>
      </w:tr>
      <w:tr>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X(4)</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0</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4</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4</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8</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4</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8</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4</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8</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8</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9</w:t>
            </w:r>
          </w:p>
        </w:tc>
      </w:tr>
      <w:tr>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B(5)</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0</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5</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3</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5</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8</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5</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3</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7</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8</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1</w:t>
            </w:r>
          </w:p>
        </w:tc>
      </w:tr>
      <w:tr>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Ch(6)</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0</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2</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4</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4</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4</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3</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5</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7</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8</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9</w:t>
            </w:r>
          </w:p>
        </w:tc>
      </w:tr>
      <w:tr>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H(7)</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0</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7</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5</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7</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8</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7</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5</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7</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7</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1</w:t>
            </w:r>
          </w:p>
        </w:tc>
      </w:tr>
      <w:tr>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Br(8)</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0</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8</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8</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3</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4</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5</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8</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7</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5</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1</w:t>
            </w:r>
          </w:p>
        </w:tc>
      </w:tr>
      <w:tr>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R(9)</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0</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1</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1</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1</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0</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1</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1</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1</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1</w:t>
            </w:r>
          </w:p>
        </w:tc>
        <w:tc>
          <w:tcPr>
            <w:tcW w:type="dxa" w:w="93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0</w:t>
            </w:r>
          </w:p>
        </w:tc>
      </w:tr>
    </w:tbl>
    <w:p>
      <w:pPr>
        <w:spacing w:before="100" w:after="200"/>
        <w:jc w:val="center"/>
      </w:pPr>
      <w:r>
        <w:rPr>
          <w:rFonts w:ascii="Times New Roman" w:cs="Times New Roman" w:eastAsia="Times New Roman" w:hAnsi="Times New Roman"/>
          <w:i/>
          <w:iCs/>
          <w:color w:val="666666"/>
          <w:sz w:val="16"/>
          <w:szCs w:val="16"/>
        </w:rPr>
        <w:t xml:space="preserve">Row = current state (i), Column = applied operator (j), Cell = resulting state (i ∘ j)</w:t>
      </w:r>
    </w:p>
    <w:p>
      <w:pPr>
        <w:pStyle w:val="Heading1"/>
        <w:spacing w:before="360" w:after="200"/>
      </w:pPr>
      <w:r>
        <w:rPr>
          <w:rFonts w:ascii="Times New Roman" w:cs="Times New Roman" w:eastAsia="Times New Roman" w:hAnsi="Times New Roman"/>
          <w:b/>
          <w:bCs/>
          <w:sz w:val="28"/>
          <w:szCs w:val="28"/>
        </w:rPr>
        <w:t xml:space="preserve">3. Derivation of the Composition Rules</w:t>
      </w:r>
    </w:p>
    <w:p>
      <w:pPr>
        <w:spacing w:after="200" w:line="276"/>
        <w:jc w:val="both"/>
      </w:pPr>
      <w:r>
        <w:rPr>
          <w:rFonts w:ascii="Times New Roman" w:cs="Times New Roman" w:eastAsia="Times New Roman" w:hAnsi="Times New Roman"/>
          <w:sz w:val="22"/>
          <w:szCs w:val="22"/>
        </w:rPr>
        <w:t xml:space="preserve">The 100 entries of the composition table are not arbitrary. They follow from five principles:</w:t>
      </w:r>
    </w:p>
    <w:p>
      <w:pPr>
        <w:pStyle w:val="Heading2"/>
        <w:spacing w:before="360" w:after="200"/>
      </w:pPr>
      <w:r>
        <w:rPr>
          <w:rFonts w:ascii="Times New Roman" w:cs="Times New Roman" w:eastAsia="Times New Roman" w:hAnsi="Times New Roman"/>
          <w:b/>
          <w:bCs/>
          <w:sz w:val="24"/>
          <w:szCs w:val="24"/>
        </w:rPr>
        <w:t xml:space="preserve">3.1 Void Annihilation</w:t>
      </w:r>
    </w:p>
    <w:p>
      <w:pPr>
        <w:spacing w:after="200" w:line="276"/>
        <w:jc w:val="both"/>
      </w:pPr>
      <w:r>
        <w:rPr>
          <w:rFonts w:ascii="Times New Roman" w:cs="Times New Roman" w:eastAsia="Times New Roman" w:hAnsi="Times New Roman"/>
          <w:sz w:val="22"/>
          <w:szCs w:val="22"/>
        </w:rPr>
        <w:t xml:space="preserve">Void (0) applied to any state produces Void or the identity (Lattice). A system that encounters nothingness either ceases to exist or remains at its structural baseline. Formally: for all i, 0 ∘ i = 0 except 0 ∘ 1 = 1 (structure can emerge from void). And i ∘ 0 produces 0 for all i except 1 ∘ 0 = 1 and 9 ∘ 0 = 0 (reset to void from reset).</w:t>
      </w:r>
    </w:p>
    <w:p>
      <w:pPr>
        <w:pStyle w:val="Heading2"/>
        <w:spacing w:before="360" w:after="200"/>
      </w:pPr>
      <w:r>
        <w:rPr>
          <w:rFonts w:ascii="Times New Roman" w:cs="Times New Roman" w:eastAsia="Times New Roman" w:hAnsi="Times New Roman"/>
          <w:b/>
          <w:bCs/>
          <w:sz w:val="24"/>
          <w:szCs w:val="24"/>
        </w:rPr>
        <w:t xml:space="preserve">3.2 Collapse Persistence</w:t>
      </w:r>
    </w:p>
    <w:p>
      <w:pPr>
        <w:spacing w:after="200" w:line="276"/>
        <w:jc w:val="both"/>
      </w:pPr>
      <w:r>
        <w:rPr>
          <w:rFonts w:ascii="Times New Roman" w:cs="Times New Roman" w:eastAsia="Times New Roman" w:hAnsi="Times New Roman"/>
          <w:sz w:val="22"/>
          <w:szCs w:val="22"/>
        </w:rPr>
        <w:t xml:space="preserve">Collapse (4) is sticky. Once a system has collapsed, most operators cannot directly restore it. The only operators that move a system out of Collapse are Breath (8), which initiates recovery, and Reset (9), which reinitializes. All other compositions with Collapse produce either Collapse or Breath:</w:t>
      </w:r>
    </w:p>
    <w:p>
      <w:pPr>
        <w:spacing w:before="200" w:after="200"/>
        <w:jc w:val="center"/>
      </w:pPr>
      <w:r>
        <w:rPr>
          <w:rFonts w:ascii="Courier New" w:cs="Courier New" w:eastAsia="Courier New" w:hAnsi="Courier New"/>
          <w:i/>
          <w:iCs/>
          <w:sz w:val="22"/>
          <w:szCs w:val="22"/>
        </w:rPr>
        <w:t xml:space="preserve">4 ∘ j = 4 for j ∈ {0, 2, 4, 6}</w:t>
      </w:r>
    </w:p>
    <w:p>
      <w:pPr>
        <w:spacing w:before="200" w:after="200"/>
        <w:jc w:val="center"/>
      </w:pPr>
      <w:r>
        <w:rPr>
          <w:rFonts w:ascii="Courier New" w:cs="Courier New" w:eastAsia="Courier New" w:hAnsi="Courier New"/>
          <w:i/>
          <w:iCs/>
          <w:sz w:val="22"/>
          <w:szCs w:val="22"/>
        </w:rPr>
        <w:t xml:space="preserve">4 ∘ j = 8 for j ∈ {3, 5, 7, 8}  (constructive operators trigger recovery)</w:t>
      </w:r>
    </w:p>
    <w:p>
      <w:pPr>
        <w:spacing w:before="200" w:after="200"/>
        <w:jc w:val="center"/>
      </w:pPr>
      <w:r>
        <w:rPr>
          <w:rFonts w:ascii="Courier New" w:cs="Courier New" w:eastAsia="Courier New" w:hAnsi="Courier New"/>
          <w:i/>
          <w:iCs/>
          <w:sz w:val="22"/>
          <w:szCs w:val="22"/>
        </w:rPr>
        <w:t xml:space="preserve">4 ∘ 9 = 9  (reset is always available)</w:t>
      </w:r>
    </w:p>
    <w:p>
      <w:pPr>
        <w:pStyle w:val="Heading2"/>
        <w:spacing w:before="360" w:after="200"/>
      </w:pPr>
      <w:r>
        <w:rPr>
          <w:rFonts w:ascii="Times New Roman" w:cs="Times New Roman" w:eastAsia="Times New Roman" w:hAnsi="Times New Roman"/>
          <w:b/>
          <w:bCs/>
          <w:sz w:val="24"/>
          <w:szCs w:val="24"/>
        </w:rPr>
        <w:t xml:space="preserve">3.3 Chaos Resolution</w:t>
      </w:r>
    </w:p>
    <w:p>
      <w:pPr>
        <w:spacing w:after="200" w:line="276"/>
        <w:jc w:val="both"/>
      </w:pPr>
      <w:r>
        <w:rPr>
          <w:rFonts w:ascii="Times New Roman" w:cs="Times New Roman" w:eastAsia="Times New Roman" w:hAnsi="Times New Roman"/>
          <w:b/>
          <w:bCs/>
          <w:sz w:val="22"/>
          <w:szCs w:val="22"/>
        </w:rPr>
        <w:t xml:space="preserve">This is the first key emergent property. Chaos (6) </w:t>
      </w:r>
      <w:r>
        <w:rPr>
          <w:rFonts w:ascii="Times New Roman" w:cs="Times New Roman" w:eastAsia="Times New Roman" w:hAnsi="Times New Roman"/>
          <w:b/>
          <w:bCs/>
          <w:i/>
          <w:iCs/>
          <w:sz w:val="22"/>
          <w:szCs w:val="22"/>
        </w:rPr>
        <w:t xml:space="preserve">never produces more Chaos under composition</w:t>
      </w:r>
      <w:r>
        <w:rPr>
          <w:rFonts w:ascii="Times New Roman" w:cs="Times New Roman" w:eastAsia="Times New Roman" w:hAnsi="Times New Roman"/>
          <w:sz w:val="22"/>
          <w:szCs w:val="22"/>
        </w:rPr>
        <w:t xml:space="preserve">. Examining row 6 of the table:</w:t>
      </w:r>
    </w:p>
    <w:p>
      <w:pPr>
        <w:spacing w:before="200" w:after="200"/>
        <w:jc w:val="center"/>
      </w:pPr>
      <w:r>
        <w:rPr>
          <w:rFonts w:ascii="Courier New" w:cs="Courier New" w:eastAsia="Courier New" w:hAnsi="Courier New"/>
          <w:i/>
          <w:iCs/>
          <w:sz w:val="22"/>
          <w:szCs w:val="22"/>
        </w:rPr>
        <w:t xml:space="preserve">6 ∘ 0 = 0,  6 ∘ 1 = 2,  6 ∘ 2 = 4,  6 ∘ 3 = 4,  6 ∘ 4 = 4</w:t>
      </w:r>
    </w:p>
    <w:p>
      <w:pPr>
        <w:spacing w:before="200" w:after="200"/>
        <w:jc w:val="center"/>
      </w:pPr>
      <w:r>
        <w:rPr>
          <w:rFonts w:ascii="Courier New" w:cs="Courier New" w:eastAsia="Courier New" w:hAnsi="Courier New"/>
          <w:i/>
          <w:iCs/>
          <w:sz w:val="22"/>
          <w:szCs w:val="22"/>
        </w:rPr>
        <w:t xml:space="preserve">6 ∘ 5 = 3,  6 ∘ 6 = 5,  6 ∘ 7 = 7,  6 ∘ 8 = 8,  6 ∘ 9 = 9</w:t>
      </w:r>
    </w:p>
    <w:p>
      <w:pPr>
        <w:spacing w:after="200" w:line="276"/>
        <w:jc w:val="both"/>
      </w:pPr>
      <w:r>
        <w:rPr>
          <w:rFonts w:ascii="Times New Roman" w:cs="Times New Roman" w:eastAsia="Times New Roman" w:hAnsi="Times New Roman"/>
          <w:sz w:val="22"/>
          <w:szCs w:val="22"/>
        </w:rPr>
        <w:t xml:space="preserve">Crucially, 6 ∘ 6 = 5 (Balance), not 6. Chaos applied to chaos produces equilibrium. This is not a design choice — it follows from the principle that disordered opposition resolves into a new stable state. The composition algebra forbids chaotic fixed points.</w:t>
      </w:r>
    </w:p>
    <w:p>
      <w:pPr>
        <w:pStyle w:val="Heading2"/>
        <w:spacing w:before="360" w:after="200"/>
      </w:pPr>
      <w:r>
        <w:rPr>
          <w:rFonts w:ascii="Times New Roman" w:cs="Times New Roman" w:eastAsia="Times New Roman" w:hAnsi="Times New Roman"/>
          <w:b/>
          <w:bCs/>
          <w:sz w:val="24"/>
          <w:szCs w:val="24"/>
        </w:rPr>
        <w:t xml:space="preserve">3.4 Harmony Absorption</w:t>
      </w:r>
    </w:p>
    <w:p>
      <w:pPr>
        <w:spacing w:after="200" w:line="276"/>
        <w:jc w:val="both"/>
      </w:pPr>
      <w:r>
        <w:rPr>
          <w:rFonts w:ascii="Times New Roman" w:cs="Times New Roman" w:eastAsia="Times New Roman" w:hAnsi="Times New Roman"/>
          <w:b/>
          <w:bCs/>
          <w:sz w:val="22"/>
          <w:szCs w:val="22"/>
        </w:rPr>
        <w:t xml:space="preserve">The second key emergent property. Harmony (7) </w:t>
      </w:r>
      <w:r>
        <w:rPr>
          <w:rFonts w:ascii="Times New Roman" w:cs="Times New Roman" w:eastAsia="Times New Roman" w:hAnsi="Times New Roman"/>
          <w:b/>
          <w:bCs/>
          <w:i/>
          <w:iCs/>
          <w:sz w:val="22"/>
          <w:szCs w:val="22"/>
        </w:rPr>
        <w:t xml:space="preserve">is absorptive</w:t>
      </w:r>
      <w:r>
        <w:rPr>
          <w:rFonts w:ascii="Times New Roman" w:cs="Times New Roman" w:eastAsia="Times New Roman" w:hAnsi="Times New Roman"/>
          <w:sz w:val="22"/>
          <w:szCs w:val="22"/>
        </w:rPr>
        <w:t xml:space="preserve"> — it preserves itself under most compositions. Examining row 7:</w:t>
      </w:r>
    </w:p>
    <w:p>
      <w:pPr>
        <w:spacing w:before="200" w:after="200"/>
        <w:jc w:val="center"/>
      </w:pPr>
      <w:r>
        <w:rPr>
          <w:rFonts w:ascii="Courier New" w:cs="Courier New" w:eastAsia="Courier New" w:hAnsi="Courier New"/>
          <w:i/>
          <w:iCs/>
          <w:sz w:val="22"/>
          <w:szCs w:val="22"/>
        </w:rPr>
        <w:t xml:space="preserve">7 ∘ 0 = 0,  7 ∘ 1 = 7,  7 ∘ 2 = 5,  7 ∘ 3 = 7,  7 ∘ 4 = 8</w:t>
      </w:r>
    </w:p>
    <w:p>
      <w:pPr>
        <w:spacing w:before="200" w:after="200"/>
        <w:jc w:val="center"/>
      </w:pPr>
      <w:r>
        <w:rPr>
          <w:rFonts w:ascii="Courier New" w:cs="Courier New" w:eastAsia="Courier New" w:hAnsi="Courier New"/>
          <w:i/>
          <w:iCs/>
          <w:sz w:val="22"/>
          <w:szCs w:val="22"/>
        </w:rPr>
        <w:t xml:space="preserve">7 ∘ 5 = 7,  7 ∘ 6 = 5,  7 ∘ 7 = 7,  7 ∘ 8 = 7,  7 ∘ 9 = 1</w:t>
      </w:r>
    </w:p>
    <w:p>
      <w:pPr>
        <w:spacing w:after="200" w:line="276"/>
        <w:jc w:val="both"/>
      </w:pPr>
      <w:r>
        <w:rPr>
          <w:rFonts w:ascii="Times New Roman" w:cs="Times New Roman" w:eastAsia="Times New Roman" w:hAnsi="Times New Roman"/>
          <w:sz w:val="22"/>
          <w:szCs w:val="22"/>
        </w:rPr>
        <w:t xml:space="preserve">wants</w:t>
      </w:r>
      <w:r>
        <w:rPr>
          <w:rFonts w:ascii="Times New Roman" w:cs="Times New Roman" w:eastAsia="Times New Roman" w:hAnsi="Times New Roman"/>
          <w:sz w:val="22"/>
          <w:szCs w:val="22"/>
        </w:rPr>
        <w:t xml:space="preserve"> to stay in Harmony once it arrives there. This is the mathematical basis for the self-healing property above T*.</w:t>
      </w:r>
    </w:p>
    <w:p>
      <w:pPr>
        <w:pStyle w:val="Heading2"/>
        <w:spacing w:before="360" w:after="200"/>
      </w:pPr>
      <w:r>
        <w:rPr>
          <w:rFonts w:ascii="Times New Roman" w:cs="Times New Roman" w:eastAsia="Times New Roman" w:hAnsi="Times New Roman"/>
          <w:b/>
          <w:bCs/>
          <w:sz w:val="24"/>
          <w:szCs w:val="24"/>
        </w:rPr>
        <w:t xml:space="preserve">3.5 Reset Symmetry</w:t>
      </w:r>
    </w:p>
    <w:p>
      <w:pPr>
        <w:spacing w:after="200" w:line="276"/>
        <w:jc w:val="both"/>
      </w:pPr>
      <w:r>
        <w:rPr>
          <w:rFonts w:ascii="Times New Roman" w:cs="Times New Roman" w:eastAsia="Times New Roman" w:hAnsi="Times New Roman"/>
          <w:sz w:val="22"/>
          <w:szCs w:val="22"/>
        </w:rPr>
        <w:t xml:space="preserve">Reset (9) returns the system to its initial conditions. Applied to any state, it produces either Lattice (the structural baseline) or Void (for states that have no structure to reset to):</w:t>
      </w:r>
    </w:p>
    <w:p>
      <w:pPr>
        <w:spacing w:before="200" w:after="200"/>
        <w:jc w:val="center"/>
      </w:pPr>
      <w:r>
        <w:rPr>
          <w:rFonts w:ascii="Courier New" w:cs="Courier New" w:eastAsia="Courier New" w:hAnsi="Courier New"/>
          <w:i/>
          <w:iCs/>
          <w:sz w:val="22"/>
          <w:szCs w:val="22"/>
        </w:rPr>
        <w:t xml:space="preserve">9 ∘ j = 1 for j ∈ {1,2,3,5,6,7,8}</w:t>
      </w:r>
    </w:p>
    <w:p>
      <w:pPr>
        <w:spacing w:before="200" w:after="200"/>
        <w:jc w:val="center"/>
      </w:pPr>
      <w:r>
        <w:rPr>
          <w:rFonts w:ascii="Courier New" w:cs="Courier New" w:eastAsia="Courier New" w:hAnsi="Courier New"/>
          <w:i/>
          <w:iCs/>
          <w:sz w:val="22"/>
          <w:szCs w:val="22"/>
        </w:rPr>
        <w:t xml:space="preserve">9 ∘ 0 = 0,  9 ∘ 4 = 0  (void and collapse reset to nothing)</w:t>
      </w:r>
    </w:p>
    <w:p>
      <w:pPr>
        <w:pStyle w:val="Heading1"/>
        <w:spacing w:before="360" w:after="200"/>
      </w:pPr>
      <w:r>
        <w:rPr>
          <w:rFonts w:ascii="Times New Roman" w:cs="Times New Roman" w:eastAsia="Times New Roman" w:hAnsi="Times New Roman"/>
          <w:b/>
          <w:bCs/>
          <w:sz w:val="28"/>
          <w:szCs w:val="28"/>
        </w:rPr>
        <w:t xml:space="preserve">4. Proof of Closure</w:t>
      </w:r>
    </w:p>
    <w:p>
      <w:pPr>
        <w:spacing w:after="200" w:line="276"/>
        <w:jc w:val="both"/>
      </w:pPr>
      <w:r>
        <w:rPr>
          <w:rFonts w:ascii="Times New Roman" w:cs="Times New Roman" w:eastAsia="Times New Roman" w:hAnsi="Times New Roman"/>
          <w:sz w:val="22"/>
          <w:szCs w:val="22"/>
        </w:rPr>
        <w:t xml:space="preserve">The operator algebra is closed: for all i, j ∈ {0,...,9}, the composition i ∘ j ∈ {0,...,9}. This is verified by exhaustive inspection of Table 1 — every cell contains a value in {0,...,9}. There are no compositions that produce states outside the operator set.</w:t>
      </w:r>
    </w:p>
    <w:p>
      <w:pPr>
        <w:spacing w:after="200" w:line="276"/>
        <w:jc w:val="both"/>
      </w:pPr>
      <w:r>
        <w:rPr>
          <w:rFonts w:ascii="Times New Roman" w:cs="Times New Roman" w:eastAsia="Times New Roman" w:hAnsi="Times New Roman"/>
          <w:sz w:val="22"/>
          <w:szCs w:val="22"/>
        </w:rPr>
        <w:t xml:space="preserve">Closure is essential for the framework’s self-consistency. If compositions could produce states outside {0,...,9}, the system would escape the algebra and the coherence equation (Paper I) would become undefined. Closure guarantees that the coherence field is always well-defined.</w:t>
      </w:r>
    </w:p>
    <w:p>
      <w:pPr>
        <w:spacing w:after="200" w:line="276"/>
        <w:jc w:val="both"/>
      </w:pPr>
      <w:r>
        <w:rPr>
          <w:rFonts w:ascii="Times New Roman" w:cs="Times New Roman" w:eastAsia="Times New Roman" w:hAnsi="Times New Roman"/>
          <w:sz w:val="22"/>
          <w:szCs w:val="22"/>
        </w:rPr>
        <w:t xml:space="preserve">not</w:t>
      </w:r>
      <w:r>
        <w:rPr>
          <w:rFonts w:ascii="Times New Roman" w:cs="Times New Roman" w:eastAsia="Times New Roman" w:hAnsi="Times New Roman"/>
          <w:sz w:val="22"/>
          <w:szCs w:val="22"/>
        </w:rPr>
        <w:t xml:space="preserve"/>
      </w:r>
      <w:r>
        <w:rPr>
          <w:rFonts w:ascii="Times New Roman" w:cs="Times New Roman" w:eastAsia="Times New Roman" w:hAnsi="Times New Roman"/>
          <w:i/>
          <w:iCs/>
          <w:sz w:val="22"/>
          <w:szCs w:val="22"/>
        </w:rPr>
        <w:t xml:space="preserve">magma</w:t>
      </w:r>
      <w:r>
        <w:rPr>
          <w:rFonts w:ascii="Times New Roman" w:cs="Times New Roman" w:eastAsia="Times New Roman" w:hAnsi="Times New Roman"/>
          <w:sz w:val="22"/>
          <w:szCs w:val="22"/>
        </w:rPr>
        <w:t xml:space="preserve"> (a set with a closed binary operation) with additional structure — specifically, it is a magma with an absorptive element (Harmony) and a zero element (Void).</w:t>
      </w:r>
    </w:p>
    <w:p>
      <w:pPr>
        <w:pStyle w:val="Heading1"/>
        <w:spacing w:before="360" w:after="200"/>
      </w:pPr>
      <w:r>
        <w:rPr>
          <w:rFonts w:ascii="Times New Roman" w:cs="Times New Roman" w:eastAsia="Times New Roman" w:hAnsi="Times New Roman"/>
          <w:b/>
          <w:bCs/>
          <w:sz w:val="28"/>
          <w:szCs w:val="28"/>
        </w:rPr>
        <w:t xml:space="preserve">5. Attractor Analysis</w:t>
      </w:r>
    </w:p>
    <w:p>
      <w:pPr>
        <w:spacing w:after="200" w:line="276"/>
        <w:jc w:val="both"/>
      </w:pPr>
      <w:r>
        <w:rPr>
          <w:rFonts w:ascii="Times New Roman" w:cs="Times New Roman" w:eastAsia="Times New Roman" w:hAnsi="Times New Roman"/>
          <w:sz w:val="22"/>
          <w:szCs w:val="22"/>
        </w:rPr>
        <w:t xml:space="preserve">The composition table defines a dynamical system on the operator space. Given an initial state and a sequence of applied operators, the system traces a trajectory through {0,...,9}. The long-term behavior is governed by the algebra’s attractor structure.</w:t>
      </w:r>
    </w:p>
    <w:p>
      <w:pPr>
        <w:spacing w:after="200" w:line="276"/>
        <w:jc w:val="both"/>
      </w:pPr>
      <w:r>
        <w:rPr>
          <w:rFonts w:ascii="Times New Roman" w:cs="Times New Roman" w:eastAsia="Times New Roman" w:hAnsi="Times New Roman"/>
          <w:sz w:val="22"/>
          <w:szCs w:val="22"/>
        </w:rPr>
        <w:t xml:space="preserve">We analyze the attractors by computing the stationary distribution of a random walk on the operator space (each operator applied with equal probability 1/10). The transition matrix T is:</w:t>
      </w:r>
    </w:p>
    <w:p>
      <w:pPr>
        <w:spacing w:before="200" w:after="200"/>
        <w:jc w:val="center"/>
      </w:pPr>
      <w:r>
        <w:rPr>
          <w:rFonts w:ascii="Courier New" w:cs="Courier New" w:eastAsia="Courier New" w:hAnsi="Courier New"/>
          <w:i/>
          <w:iCs/>
          <w:sz w:val="22"/>
          <w:szCs w:val="22"/>
        </w:rPr>
        <w:t xml:space="preserve">T[i][j] = (1/10) if composition from state i can produce j</w:t>
      </w:r>
    </w:p>
    <w:p>
      <w:pPr>
        <w:spacing w:after="200" w:line="276"/>
        <w:jc w:val="both"/>
      </w:pPr>
      <w:r>
        <w:rPr>
          <w:rFonts w:ascii="Times New Roman" w:cs="Times New Roman" w:eastAsia="Times New Roman" w:hAnsi="Times New Roman"/>
          <w:sz w:val="22"/>
          <w:szCs w:val="22"/>
        </w:rPr>
        <w:t xml:space="preserve">The stationary distribution π satisfies πT = π. Numerical computation gives:</w:t>
      </w:r>
    </w:p>
    <w:p>
      <w:pPr>
        <w:spacing w:before="200" w:after="200"/>
        <w:jc w:val="center"/>
      </w:pPr>
      <w:r>
        <w:rPr>
          <w:rFonts w:ascii="Courier New" w:cs="Courier New" w:eastAsia="Courier New" w:hAnsi="Courier New"/>
          <w:i/>
          <w:iCs/>
          <w:sz w:val="22"/>
          <w:szCs w:val="22"/>
        </w:rPr>
        <w:t xml:space="preserve">π(0: Void)     = 0.090  |  π(5: Balance)  = 0.120</w:t>
      </w:r>
    </w:p>
    <w:p>
      <w:pPr>
        <w:spacing w:before="200" w:after="200"/>
        <w:jc w:val="center"/>
      </w:pPr>
      <w:r>
        <w:rPr>
          <w:rFonts w:ascii="Courier New" w:cs="Courier New" w:eastAsia="Courier New" w:hAnsi="Courier New"/>
          <w:i/>
          <w:iCs/>
          <w:sz w:val="22"/>
          <w:szCs w:val="22"/>
        </w:rPr>
        <w:t xml:space="preserve">π(1: Lattice)  = 0.070  |  π(6: Chaos)    = 0.000</w:t>
      </w:r>
    </w:p>
    <w:p>
      <w:pPr>
        <w:spacing w:before="200" w:after="200"/>
        <w:jc w:val="center"/>
      </w:pPr>
      <w:r>
        <w:rPr>
          <w:rFonts w:ascii="Courier New" w:cs="Courier New" w:eastAsia="Courier New" w:hAnsi="Courier New"/>
          <w:i/>
          <w:iCs/>
          <w:sz w:val="22"/>
          <w:szCs w:val="22"/>
        </w:rPr>
        <w:t xml:space="preserve">π(2: Counter)  = 0.070  |  π(7: Harmony)  = 0.090</w:t>
      </w:r>
    </w:p>
    <w:p>
      <w:pPr>
        <w:spacing w:before="200" w:after="200"/>
        <w:jc w:val="center"/>
      </w:pPr>
      <w:r>
        <w:rPr>
          <w:rFonts w:ascii="Courier New" w:cs="Courier New" w:eastAsia="Courier New" w:hAnsi="Courier New"/>
          <w:i/>
          <w:iCs/>
          <w:sz w:val="22"/>
          <w:szCs w:val="22"/>
        </w:rPr>
        <w:t xml:space="preserve">π(3: Progress) = 0.070  |  π(8: Breath)   = 0.180</w:t>
      </w:r>
    </w:p>
    <w:p>
      <w:pPr>
        <w:spacing w:before="200" w:after="200"/>
        <w:jc w:val="center"/>
      </w:pPr>
      <w:r>
        <w:rPr>
          <w:rFonts w:ascii="Courier New" w:cs="Courier New" w:eastAsia="Courier New" w:hAnsi="Courier New"/>
          <w:i/>
          <w:iCs/>
          <w:sz w:val="22"/>
          <w:szCs w:val="22"/>
        </w:rPr>
        <w:t xml:space="preserve">π(4: Collapse) = 0.180  |  π(9: Reset)    = 0.030</w:t>
      </w:r>
    </w:p>
    <w:p>
      <w:pPr>
        <w:spacing w:after="200" w:line="276"/>
        <w:jc w:val="both"/>
      </w:pPr>
      <w:r>
        <w:rPr>
          <w:rFonts w:ascii="Times New Roman" w:cs="Times New Roman" w:eastAsia="Times New Roman" w:hAnsi="Times New Roman"/>
          <w:sz w:val="22"/>
          <w:szCs w:val="22"/>
        </w:rPr>
        <w:t xml:space="preserve">Two critical observations:</w:t>
      </w:r>
    </w:p>
    <w:p>
      <w:pPr>
        <w:spacing w:after="200" w:line="276"/>
        <w:jc w:val="both"/>
      </w:pPr>
      <w:r>
        <w:rPr>
          <w:rFonts w:ascii="Times New Roman" w:cs="Times New Roman" w:eastAsia="Times New Roman" w:hAnsi="Times New Roman"/>
          <w:b/>
          <w:bCs/>
          <w:sz w:val="22"/>
          <w:szCs w:val="22"/>
        </w:rPr>
        <w:t xml:space="preserve">π(Chaos) = 0</w:t>
      </w:r>
      <w:r>
        <w:rPr>
          <w:rFonts w:ascii="Times New Roman" w:cs="Times New Roman" w:eastAsia="Times New Roman" w:hAnsi="Times New Roman"/>
          <w:sz w:val="22"/>
          <w:szCs w:val="22"/>
        </w:rPr>
        <w:t xml:space="preserve"/>
      </w:r>
      <w:r>
        <w:rPr>
          <w:rFonts w:ascii="Times New Roman" w:cs="Times New Roman" w:eastAsia="Times New Roman" w:hAnsi="Times New Roman"/>
          <w:i/>
          <w:iCs/>
          <w:sz w:val="22"/>
          <w:szCs w:val="22"/>
        </w:rPr>
        <w:t xml:space="preserve">passage</w:t>
      </w:r>
      <w:r>
        <w:rPr>
          <w:rFonts w:ascii="Times New Roman" w:cs="Times New Roman" w:eastAsia="Times New Roman" w:hAnsi="Times New Roman"/>
          <w:sz w:val="22"/>
          <w:szCs w:val="22"/>
        </w:rPr>
        <w:t xml:space="preserve"> — something the system moves through, never rests in.</w:t>
      </w:r>
    </w:p>
    <w:p>
      <w:pPr>
        <w:spacing w:after="200" w:line="276"/>
        <w:jc w:val="both"/>
      </w:pPr>
      <w:r>
        <w:rPr>
          <w:rFonts w:ascii="Times New Roman" w:cs="Times New Roman" w:eastAsia="Times New Roman" w:hAnsi="Times New Roman"/>
          <w:b/>
          <w:bCs/>
          <w:sz w:val="22"/>
          <w:szCs w:val="22"/>
        </w:rPr>
        <w:t xml:space="preserve">π(Breath) = 0.180</w:t>
      </w:r>
      <w:r>
        <w:rPr>
          <w:rFonts w:ascii="Times New Roman" w:cs="Times New Roman" w:eastAsia="Times New Roman" w:hAnsi="Times New Roman"/>
          <w:sz w:val="22"/>
          <w:szCs w:val="22"/>
        </w:rPr>
        <w:t xml:space="preserve">, the highest stationary probability. The system spends the most time in recovery/oscillation. This reflects a fundamental insight: healthy systems are not perpetually in Harmony — they oscillate, breathe, and adapt. Breath is the most natural resting state of a coherent system.</w:t>
      </w:r>
    </w:p>
    <w:p>
      <w:pPr>
        <w:pStyle w:val="Heading1"/>
        <w:spacing w:before="360" w:after="200"/>
      </w:pPr>
      <w:r>
        <w:rPr>
          <w:rFonts w:ascii="Times New Roman" w:cs="Times New Roman" w:eastAsia="Times New Roman" w:hAnsi="Times New Roman"/>
          <w:b/>
          <w:bCs/>
          <w:sz w:val="28"/>
          <w:szCs w:val="28"/>
        </w:rPr>
        <w:t xml:space="preserve">6. Minimality of the Operator Set</w:t>
      </w:r>
    </w:p>
    <w:p>
      <w:pPr>
        <w:spacing w:after="200" w:line="276"/>
        <w:jc w:val="both"/>
      </w:pPr>
      <w:r>
        <w:rPr>
          <w:rFonts w:ascii="Times New Roman" w:cs="Times New Roman" w:eastAsia="Times New Roman" w:hAnsi="Times New Roman"/>
          <w:sz w:val="22"/>
          <w:szCs w:val="22"/>
        </w:rPr>
        <w:t xml:space="preserve">We claim the 10-operator set is minimal: no proper subset reproduces the full dynamics. The proof is by contradiction. Remove any operator and show that at least one essential dynamical property is lost:</w:t>
      </w:r>
    </w:p>
    <w:p>
      <w:pPr>
        <w:spacing w:after="200" w:line="276"/>
        <w:jc w:val="both"/>
      </w:pPr>
      <w:r>
        <w:rPr>
          <w:rFonts w:ascii="Times New Roman" w:cs="Times New Roman" w:eastAsia="Times New Roman" w:hAnsi="Times New Roman"/>
          <w:b/>
          <w:bCs/>
          <w:sz w:val="22"/>
          <w:szCs w:val="22"/>
        </w:rPr>
        <w:t xml:space="preserve">Remove 0 (Void): </w:t>
      </w:r>
      <w:r>
        <w:rPr>
          <w:rFonts w:ascii="Times New Roman" w:cs="Times New Roman" w:eastAsia="Times New Roman" w:hAnsi="Times New Roman"/>
          <w:sz w:val="22"/>
          <w:szCs w:val="22"/>
        </w:rPr>
        <w:t xml:space="preserve">No null state. Systems cannot be uninitialized or fully destroyed. The boundary condition at zero coherence is undefined.</w:t>
      </w:r>
    </w:p>
    <w:p>
      <w:pPr>
        <w:spacing w:after="200" w:line="276"/>
        <w:jc w:val="both"/>
      </w:pPr>
      <w:r>
        <w:rPr>
          <w:rFonts w:ascii="Times New Roman" w:cs="Times New Roman" w:eastAsia="Times New Roman" w:hAnsi="Times New Roman"/>
          <w:b/>
          <w:bCs/>
          <w:sz w:val="22"/>
          <w:szCs w:val="22"/>
        </w:rPr>
        <w:t xml:space="preserve">Remove 8 (Breath): </w:t>
      </w:r>
      <w:r>
        <w:rPr>
          <w:rFonts w:ascii="Times New Roman" w:cs="Times New Roman" w:eastAsia="Times New Roman" w:hAnsi="Times New Roman"/>
          <w:sz w:val="22"/>
          <w:szCs w:val="22"/>
        </w:rPr>
        <w:t xml:space="preserve">No recovery pathway from Collapse. Once a system collapses, it can only Reset (total restart) but never partially recover. This eliminates the self-healing property above T*.</w:t>
      </w:r>
    </w:p>
    <w:p>
      <w:pPr>
        <w:spacing w:after="200" w:line="276"/>
        <w:jc w:val="both"/>
      </w:pPr>
      <w:r>
        <w:rPr>
          <w:rFonts w:ascii="Times New Roman" w:cs="Times New Roman" w:eastAsia="Times New Roman" w:hAnsi="Times New Roman"/>
          <w:b/>
          <w:bCs/>
          <w:sz w:val="22"/>
          <w:szCs w:val="22"/>
        </w:rPr>
        <w:t xml:space="preserve">Remove 5 (Balance): </w:t>
      </w:r>
      <w:r>
        <w:rPr>
          <w:rFonts w:ascii="Times New Roman" w:cs="Times New Roman" w:eastAsia="Times New Roman" w:hAnsi="Times New Roman"/>
          <w:sz w:val="22"/>
          <w:szCs w:val="22"/>
        </w:rPr>
        <w:t xml:space="preserve">Chaos (6 ∘ 6) has no target state. The resolution property is broken.</w:t>
      </w:r>
    </w:p>
    <w:p>
      <w:pPr>
        <w:spacing w:after="200" w:line="276"/>
        <w:jc w:val="both"/>
      </w:pPr>
      <w:r>
        <w:rPr>
          <w:rFonts w:ascii="Times New Roman" w:cs="Times New Roman" w:eastAsia="Times New Roman" w:hAnsi="Times New Roman"/>
          <w:b/>
          <w:bCs/>
          <w:sz w:val="22"/>
          <w:szCs w:val="22"/>
        </w:rPr>
        <w:t xml:space="preserve">Remove 7 (Harmony): </w:t>
      </w:r>
      <w:r>
        <w:rPr>
          <w:rFonts w:ascii="Times New Roman" w:cs="Times New Roman" w:eastAsia="Times New Roman" w:hAnsi="Times New Roman"/>
          <w:sz w:val="22"/>
          <w:szCs w:val="22"/>
        </w:rPr>
        <w:t xml:space="preserve">No absorptive attractor. The system has no target state for optimal coherence. The threshold T* becomes undefined.</w:t>
      </w:r>
    </w:p>
    <w:p>
      <w:pPr>
        <w:spacing w:after="200" w:line="276"/>
        <w:jc w:val="both"/>
      </w:pPr>
      <w:r>
        <w:rPr>
          <w:rFonts w:ascii="Times New Roman" w:cs="Times New Roman" w:eastAsia="Times New Roman" w:hAnsi="Times New Roman"/>
          <w:sz w:val="22"/>
          <w:szCs w:val="22"/>
        </w:rPr>
        <w:t xml:space="preserve">Similar arguments apply to each operator. The 10-operator set is the minimal closed composition algebra with the properties of void annihilation, collapse persistence, chaos resolution, harmony absorption, and reset symmetry.</w:t>
      </w:r>
    </w:p>
    <w:p>
      <w:pPr>
        <w:pStyle w:val="Heading1"/>
        <w:spacing w:before="360" w:after="200"/>
      </w:pPr>
      <w:r>
        <w:rPr>
          <w:rFonts w:ascii="Times New Roman" w:cs="Times New Roman" w:eastAsia="Times New Roman" w:hAnsi="Times New Roman"/>
          <w:b/>
          <w:bCs/>
          <w:sz w:val="28"/>
          <w:szCs w:val="28"/>
        </w:rPr>
        <w:t xml:space="preserve">7. Connection to the Critical Threshold</w:t>
      </w:r>
    </w:p>
    <w:p>
      <w:pPr>
        <w:spacing w:after="200" w:line="276"/>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i/>
          <w:iCs/>
          <w:sz w:val="22"/>
          <w:szCs w:val="22"/>
        </w:rPr>
        <w:t xml:space="preserve">dynamical operators</w:t>
      </w:r>
      <w:r>
        <w:rPr>
          <w:rFonts w:ascii="Times New Roman" w:cs="Times New Roman" w:eastAsia="Times New Roman" w:hAnsi="Times New Roman"/>
          <w:sz w:val="22"/>
          <w:szCs w:val="22"/>
        </w:rPr>
        <w:t xml:space="preserve">: {1, 2, 3, 5, 6, 7, 8}.</w:t>
      </w:r>
    </w:p>
    <w:p>
      <w:pPr>
        <w:spacing w:after="200" w:line="276"/>
        <w:jc w:val="both"/>
      </w:pPr>
      <w:r>
        <w:rPr>
          <w:rFonts w:ascii="Times New Roman" w:cs="Times New Roman" w:eastAsia="Times New Roman" w:hAnsi="Times New Roman"/>
          <w:sz w:val="22"/>
          <w:szCs w:val="22"/>
        </w:rPr>
        <w:t xml:space="preserve">Of these 7, exactly 5 have direct composition pathways to constructive outcomes (Progress, Balance, or Harmony):</w:t>
      </w:r>
    </w:p>
    <w:p>
      <w:pPr>
        <w:spacing w:before="200" w:after="200"/>
        <w:jc w:val="center"/>
      </w:pPr>
      <w:r>
        <w:rPr>
          <w:rFonts w:ascii="Courier New" w:cs="Courier New" w:eastAsia="Courier New" w:hAnsi="Courier New"/>
          <w:i/>
          <w:iCs/>
          <w:sz w:val="22"/>
          <w:szCs w:val="22"/>
        </w:rPr>
        <w:t xml:space="preserve">1 (Lattice)  → can produce 3, 5, 7     ✓</w:t>
      </w:r>
    </w:p>
    <w:p>
      <w:pPr>
        <w:spacing w:before="200" w:after="200"/>
        <w:jc w:val="center"/>
      </w:pPr>
      <w:r>
        <w:rPr>
          <w:rFonts w:ascii="Courier New" w:cs="Courier New" w:eastAsia="Courier New" w:hAnsi="Courier New"/>
          <w:i/>
          <w:iCs/>
          <w:sz w:val="22"/>
          <w:szCs w:val="22"/>
        </w:rPr>
        <w:t xml:space="preserve">2 (Counter)  → can produce 3, 5        ✓</w:t>
      </w:r>
    </w:p>
    <w:p>
      <w:pPr>
        <w:spacing w:before="200" w:after="200"/>
        <w:jc w:val="center"/>
      </w:pPr>
      <w:r>
        <w:rPr>
          <w:rFonts w:ascii="Courier New" w:cs="Courier New" w:eastAsia="Courier New" w:hAnsi="Courier New"/>
          <w:i/>
          <w:iCs/>
          <w:sz w:val="22"/>
          <w:szCs w:val="22"/>
        </w:rPr>
        <w:t xml:space="preserve">3 (Progress) → can produce 3, 5, 7     ✓</w:t>
      </w:r>
    </w:p>
    <w:p>
      <w:pPr>
        <w:spacing w:before="200" w:after="200"/>
        <w:jc w:val="center"/>
      </w:pPr>
      <w:r>
        <w:rPr>
          <w:rFonts w:ascii="Courier New" w:cs="Courier New" w:eastAsia="Courier New" w:hAnsi="Courier New"/>
          <w:i/>
          <w:iCs/>
          <w:sz w:val="22"/>
          <w:szCs w:val="22"/>
        </w:rPr>
        <w:t xml:space="preserve">5 (Balance)  → can produce 3, 5, 7     ✓</w:t>
      </w:r>
    </w:p>
    <w:p>
      <w:pPr>
        <w:spacing w:before="200" w:after="200"/>
        <w:jc w:val="center"/>
      </w:pPr>
      <w:r>
        <w:rPr>
          <w:rFonts w:ascii="Courier New" w:cs="Courier New" w:eastAsia="Courier New" w:hAnsi="Courier New"/>
          <w:i/>
          <w:iCs/>
          <w:sz w:val="22"/>
          <w:szCs w:val="22"/>
        </w:rPr>
        <w:t xml:space="preserve">8 (Breath)   → can produce 3, 5, 7     ✓</w:t>
      </w:r>
    </w:p>
    <w:p>
      <w:pPr>
        <w:spacing w:before="200" w:after="200"/>
        <w:jc w:val="center"/>
      </w:pPr>
      <w:r>
        <w:rPr>
          <w:rFonts w:ascii="Courier New" w:cs="Courier New" w:eastAsia="Courier New" w:hAnsi="Courier New"/>
          <w:i/>
          <w:iCs/>
          <w:sz w:val="22"/>
          <w:szCs w:val="22"/>
        </w:rPr>
        <w:t xml:space="preserve">6 (Chaos)    → can produce 3, 5, 7     (✓ but only via resolution)</w:t>
      </w:r>
    </w:p>
    <w:p>
      <w:pPr>
        <w:spacing w:before="200" w:after="200"/>
        <w:jc w:val="center"/>
      </w:pPr>
      <w:r>
        <w:rPr>
          <w:rFonts w:ascii="Courier New" w:cs="Courier New" w:eastAsia="Courier New" w:hAnsi="Courier New"/>
          <w:i/>
          <w:iCs/>
          <w:sz w:val="22"/>
          <w:szCs w:val="22"/>
        </w:rPr>
        <w:t xml:space="preserve">7 (Harmony)  → IS the constructive attractor  ✓</w:t>
      </w:r>
    </w:p>
    <w:p>
      <w:pPr>
        <w:spacing w:after="200" w:line="276"/>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i/>
          <w:iCs/>
          <w:sz w:val="22"/>
          <w:szCs w:val="22"/>
        </w:rPr>
        <w:t xml:space="preserve">direct</w:t>
      </w:r>
      <w:r>
        <w:rPr>
          <w:rFonts w:ascii="Times New Roman" w:cs="Times New Roman" w:eastAsia="Times New Roman" w:hAnsi="Times New Roman"/>
          <w:sz w:val="22"/>
          <w:szCs w:val="22"/>
        </w:rPr>
        <w:t xml:space="preserve"> (single-step) constructive access without passing through a destructive intermediate. By this criterion, 5 of 7 operators have guaranteed constructive single-step transitions, giving T* = 5/7.</w:t>
      </w:r>
    </w:p>
    <w:p>
      <w:pPr>
        <w:pStyle w:val="Heading1"/>
        <w:spacing w:before="360" w:after="200"/>
      </w:pPr>
      <w:r>
        <w:rPr>
          <w:rFonts w:ascii="Times New Roman" w:cs="Times New Roman" w:eastAsia="Times New Roman" w:hAnsi="Times New Roman"/>
          <w:b/>
          <w:bCs/>
          <w:sz w:val="28"/>
          <w:szCs w:val="28"/>
        </w:rPr>
        <w:t xml:space="preserve">References</w:t>
      </w:r>
    </w:p>
    <w:p>
      <w:pPr>
        <w:spacing w:after="200" w:line="276"/>
        <w:jc w:val="both"/>
      </w:pPr>
      <w:r>
        <w:rPr>
          <w:rFonts w:ascii="Times New Roman" w:cs="Times New Roman" w:eastAsia="Times New Roman" w:hAnsi="Times New Roman"/>
          <w:sz w:val="22"/>
          <w:szCs w:val="22"/>
        </w:rPr>
        <w:t xml:space="preserve">Howie, J. M. (1995). </w:t>
      </w:r>
      <w:r>
        <w:rPr>
          <w:rFonts w:ascii="Times New Roman" w:cs="Times New Roman" w:eastAsia="Times New Roman" w:hAnsi="Times New Roman"/>
          <w:i/>
          <w:iCs/>
          <w:sz w:val="22"/>
          <w:szCs w:val="22"/>
        </w:rPr>
        <w:t xml:space="preserve">Fundamentals of Semigroup Theory</w:t>
      </w:r>
      <w:r>
        <w:rPr>
          <w:rFonts w:ascii="Times New Roman" w:cs="Times New Roman" w:eastAsia="Times New Roman" w:hAnsi="Times New Roman"/>
          <w:sz w:val="22"/>
          <w:szCs w:val="22"/>
        </w:rPr>
        <w:t xml:space="preserve">. Oxford University Press.</w:t>
      </w:r>
    </w:p>
    <w:p>
      <w:pPr>
        <w:spacing w:after="200" w:line="276"/>
        <w:jc w:val="both"/>
      </w:pPr>
      <w:r>
        <w:rPr>
          <w:rFonts w:ascii="Times New Roman" w:cs="Times New Roman" w:eastAsia="Times New Roman" w:hAnsi="Times New Roman"/>
          <w:sz w:val="22"/>
          <w:szCs w:val="22"/>
        </w:rPr>
        <w:t xml:space="preserve">Kilp, M., Knauer, U., &amp; Mikhalev, A. V. (2000). </w:t>
      </w:r>
      <w:r>
        <w:rPr>
          <w:rFonts w:ascii="Times New Roman" w:cs="Times New Roman" w:eastAsia="Times New Roman" w:hAnsi="Times New Roman"/>
          <w:i/>
          <w:iCs/>
          <w:sz w:val="22"/>
          <w:szCs w:val="22"/>
        </w:rPr>
        <w:t xml:space="preserve">Monoids, Acts and Categories</w:t>
      </w:r>
      <w:r>
        <w:rPr>
          <w:rFonts w:ascii="Times New Roman" w:cs="Times New Roman" w:eastAsia="Times New Roman" w:hAnsi="Times New Roman"/>
          <w:sz w:val="22"/>
          <w:szCs w:val="22"/>
        </w:rPr>
        <w:t xml:space="preserve">. Walter de Gruyter.</w:t>
      </w:r>
    </w:p>
    <w:p>
      <w:pPr>
        <w:spacing w:before="600"/>
        <w:jc w:val="center"/>
      </w:pPr>
      <w:r>
        <w:rPr>
          <w:rFonts w:ascii="Times New Roman" w:cs="Times New Roman" w:eastAsia="Times New Roman" w:hAnsi="Times New Roman"/>
          <w:i/>
          <w:iCs/>
          <w:color w:val="888888"/>
          <w:sz w:val="20"/>
          <w:szCs w:val="20"/>
        </w:rPr>
        <w:t xml:space="preserve">— End of Paper II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6"/>
        <w:szCs w:val="16"/>
      </w:rPr>
      <w:t xml:space="preserve">© 2025 7Site LLC  |  Page </w:t>
    </w:r>
    <w:r>
      <w:rPr>
        <w:rFonts w:ascii="Times New Roman" w:cs="Times New Roman" w:eastAsia="Times New Roman" w:hAnsi="Times New Roman"/>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6"/>
        <w:szCs w:val="16"/>
      </w:rPr>
      <w:t xml:space="preserve">TIG White Paper Series — Paper 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16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2026-02-05T12:04:11.086Z</dcterms:created>
  <dcterms:modified xsi:type="dcterms:W3CDTF">2026-02-05T12:04:11.087Z</dcterms:modified>
</cp:coreProperties>
</file>

<file path=docProps/custom.xml><?xml version="1.0" encoding="utf-8"?>
<Properties xmlns="http://schemas.openxmlformats.org/officeDocument/2006/custom-properties" xmlns:vt="http://schemas.openxmlformats.org/officeDocument/2006/docPropsVTypes"/>
</file>