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color w:val="2C3E50"/>
          <w:sz w:val="40"/>
          <w:szCs w:val="40"/>
        </w:rPr>
        <w:t xml:space="preserve">TRINITY INFINITY GEOMETRY</w:t>
      </w:r>
    </w:p>
    <w:p>
      <w:pPr>
        <w:spacing w:after="100"/>
        <w:jc w:val="center"/>
      </w:pPr>
      <w:r>
        <w:rPr>
          <w:rFonts w:ascii="Times New Roman" w:cs="Times New Roman" w:eastAsia="Times New Roman" w:hAnsi="Times New Roman"/>
          <w:color w:val="7F8C8D"/>
          <w:sz w:val="28"/>
          <w:szCs w:val="28"/>
        </w:rPr>
        <w:t xml:space="preserve">White Paper Series — Paper III</w:t>
      </w:r>
    </w:p>
    <w:p>
      <w:pPr>
        <w:spacing w:after="600"/>
        <w:jc w:val="center"/>
      </w:pPr>
      <w:r>
        <w:rPr>
          <w:rFonts w:ascii="Times New Roman" w:cs="Times New Roman" w:eastAsia="Times New Roman" w:hAnsi="Times New Roman"/>
          <w:color w:val="BDC3C7"/>
          <w:sz w:val="20"/>
          <w:szCs w:val="20"/>
        </w:rPr>
        <w:t xml:space="preserve">────────────────────────────────────────</w:t>
      </w:r>
    </w:p>
    <w:p>
      <w:pPr>
        <w:spacing w:after="200"/>
        <w:jc w:val="center"/>
      </w:pPr>
      <w:r>
        <w:rPr>
          <w:rFonts w:ascii="Times New Roman" w:cs="Times New Roman" w:eastAsia="Times New Roman" w:hAnsi="Times New Roman"/>
          <w:b/>
          <w:bCs/>
          <w:sz w:val="36"/>
          <w:szCs w:val="36"/>
        </w:rPr>
        <w:t xml:space="preserve">The Fractal Lattice Architecture:
MacroChain, MicroGrid, and the Three Generators</w:t>
      </w:r>
    </w:p>
    <w:p>
      <w:pPr>
        <w:spacing w:after="600"/>
      </w:pPr>
    </w:p>
    <w:p>
      <w:pPr>
        <w:jc w:val="center"/>
      </w:pPr>
      <w:r>
        <w:rPr>
          <w:rFonts w:ascii="Times New Roman" w:cs="Times New Roman" w:eastAsia="Times New Roman" w:hAnsi="Times New Roman"/>
          <w:sz w:val="24"/>
          <w:szCs w:val="24"/>
        </w:rPr>
        <w:t xml:space="preserve">Brayden</w:t>
      </w:r>
    </w:p>
    <w:p>
      <w:pPr>
        <w:jc w:val="center"/>
      </w:pPr>
      <w:r>
        <w:rPr>
          <w:rFonts w:ascii="Times New Roman" w:cs="Times New Roman" w:eastAsia="Times New Roman" w:hAnsi="Times New Roman"/>
          <w:color w:val="555555"/>
          <w:sz w:val="20"/>
          <w:szCs w:val="20"/>
        </w:rPr>
        <w:t xml:space="preserve">7Site LLC, Hot Springs Village, Arkansas</w:t>
      </w:r>
    </w:p>
    <w:p>
      <w:pPr>
        <w:spacing w:after="200"/>
        <w:jc w:val="center"/>
      </w:pPr>
      <w:r>
        <w:rPr>
          <w:rFonts w:ascii="Times New Roman" w:cs="Times New Roman" w:eastAsia="Times New Roman" w:hAnsi="Times New Roman"/>
          <w:color w:val="555555"/>
          <w:sz w:val="20"/>
          <w:szCs w:val="20"/>
        </w:rPr>
        <w:t xml:space="preserve">February 2026</w:t>
      </w:r>
    </w:p>
    <w:p>
      <w:r>
        <w:r>
          <w:br w:type="page"/>
        </w:r>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We present the TIG Fractal Lattice, a data and computation architecture derived from the fractal premise. Every item in the lattice possesses two structural components: a MacroChain (the 0→9 spine providing sequential context) and a MicroGrid (a 5-centered neighborhood providing parallel context). We derive three generators — T (time/scale 012), S (scale/alignment 071), and P (path/progression 123) — and prove they form a minimal spanning set for all TIG operations. The architecture provides a concrete implementation framework for the abstract operator algebra (Paper II) and the coherence field equation (Paper I).</w:t>
      </w:r>
    </w:p>
    <w:p>
      <w:pPr>
        <w:pStyle w:val="Heading1"/>
        <w:spacing w:before="360" w:after="200"/>
      </w:pPr>
      <w:r>
        <w:rPr>
          <w:rFonts w:ascii="Times New Roman" w:cs="Times New Roman" w:eastAsia="Times New Roman" w:hAnsi="Times New Roman"/>
          <w:b/>
          <w:bCs/>
          <w:sz w:val="28"/>
          <w:szCs w:val="28"/>
        </w:rPr>
        <w:t xml:space="preserve">1. From Axiom to Architecture</w:t>
      </w:r>
    </w:p>
    <w:p>
      <w:pPr>
        <w:spacing w:after="200" w:line="276"/>
        <w:jc w:val="both"/>
      </w:pPr>
      <w:r>
        <w:rPr>
          <w:rFonts w:ascii="Times New Roman" w:cs="Times New Roman" w:eastAsia="Times New Roman" w:hAnsi="Times New Roman"/>
          <w:sz w:val="22"/>
          <w:szCs w:val="22"/>
        </w:rPr>
        <w:t xml:space="preserve">The fractal premise (Paper I, Axiom 1) states that every system exists at three scales: micro, self, and macro. The Fractal Lattice makes this structural by giving every item in the lattice explicit connections at all three scales.</w:t>
      </w:r>
    </w:p>
    <w:p>
      <w:pPr>
        <w:spacing w:after="200" w:line="276"/>
        <w:jc w:val="both"/>
      </w:pPr>
      <w:r>
        <w:rPr>
          <w:rFonts w:ascii="Times New Roman" w:cs="Times New Roman" w:eastAsia="Times New Roman" w:hAnsi="Times New Roman"/>
          <w:sz w:val="22"/>
          <w:szCs w:val="22"/>
        </w:rPr>
        <w:t xml:space="preserve">Consider a lattice node N. Its three-scale structure is:</w:t>
      </w:r>
    </w:p>
    <w:p>
      <w:pPr>
        <w:spacing w:before="200" w:after="200"/>
        <w:jc w:val="center"/>
      </w:pPr>
      <w:r>
        <w:rPr>
          <w:rFonts w:ascii="Courier New" w:cs="Courier New" w:eastAsia="Courier New" w:hAnsi="Courier New"/>
          <w:i/>
          <w:iCs/>
          <w:sz w:val="22"/>
          <w:szCs w:val="22"/>
        </w:rPr>
        <w:t xml:space="preserve">N = { N.micro (MicroGrid), N.self (state + operators), N.macro (MacroChain) }</w:t>
      </w:r>
    </w:p>
    <w:p>
      <w:pPr>
        <w:spacing w:after="200" w:line="276"/>
        <w:jc w:val="both"/>
      </w:pPr>
      <w:r>
        <w:rPr>
          <w:rFonts w:ascii="Times New Roman" w:cs="Times New Roman" w:eastAsia="Times New Roman" w:hAnsi="Times New Roman"/>
          <w:sz w:val="22"/>
          <w:szCs w:val="22"/>
        </w:rPr>
        <w:t xml:space="preserve">The MacroChain is the sequential spine: operator 0 → 1 → 2 → ... → 9. It provides temporal and hierarchical context — where the node came from and where it’s going. The MicroGrid is the parallel neighborhood: centered on operator 5 (Balance), it connects the node to its nearest neighbors in coherence space. Together, they give every node both a history (chain) and a context (grid).</w:t>
      </w:r>
    </w:p>
    <w:p>
      <w:pPr>
        <w:pStyle w:val="Heading1"/>
        <w:spacing w:before="360" w:after="200"/>
      </w:pPr>
      <w:r>
        <w:rPr>
          <w:rFonts w:ascii="Times New Roman" w:cs="Times New Roman" w:eastAsia="Times New Roman" w:hAnsi="Times New Roman"/>
          <w:b/>
          <w:bCs/>
          <w:sz w:val="28"/>
          <w:szCs w:val="28"/>
        </w:rPr>
        <w:t xml:space="preserve">2. The MacroChain: 0→9 Spine</w:t>
      </w:r>
    </w:p>
    <w:p>
      <w:pPr>
        <w:spacing w:after="200" w:line="276"/>
        <w:jc w:val="both"/>
      </w:pPr>
      <w:r>
        <w:rPr>
          <w:rFonts w:ascii="Times New Roman" w:cs="Times New Roman" w:eastAsia="Times New Roman" w:hAnsi="Times New Roman"/>
          <w:sz w:val="22"/>
          <w:szCs w:val="22"/>
        </w:rPr>
        <w:t xml:space="preserve">The MacroChain is a directed path through all 10 operators:</w:t>
      </w:r>
    </w:p>
    <w:p>
      <w:pPr>
        <w:spacing w:before="200" w:after="200"/>
        <w:jc w:val="center"/>
      </w:pPr>
      <w:r>
        <w:rPr>
          <w:rFonts w:ascii="Courier New" w:cs="Courier New" w:eastAsia="Courier New" w:hAnsi="Courier New"/>
          <w:i/>
          <w:iCs/>
          <w:sz w:val="22"/>
          <w:szCs w:val="22"/>
        </w:rPr>
        <w:t xml:space="preserve">0 (Void) → 1 (Lattice) → 2 (Counter) → 3 (Progress) → 4 (Collapse)</w:t>
      </w:r>
    </w:p>
    <w:p>
      <w:pPr>
        <w:spacing w:before="200" w:after="200"/>
        <w:jc w:val="center"/>
      </w:pPr>
      <w:r>
        <w:rPr>
          <w:rFonts w:ascii="Courier New" w:cs="Courier New" w:eastAsia="Courier New" w:hAnsi="Courier New"/>
          <w:i/>
          <w:iCs/>
          <w:sz w:val="22"/>
          <w:szCs w:val="22"/>
        </w:rPr>
        <w:t xml:space="preserve">→ 5 (Balance) → 6 (Chaos) → 7 (Harmony) → 8 (Breath) → 9 (Reset)</w:t>
      </w:r>
    </w:p>
    <w:p>
      <w:pPr>
        <w:spacing w:after="200" w:line="276"/>
        <w:jc w:val="both"/>
      </w:pPr>
      <w:r>
        <w:rPr>
          <w:rFonts w:ascii="Times New Roman" w:cs="Times New Roman" w:eastAsia="Times New Roman" w:hAnsi="Times New Roman"/>
          <w:sz w:val="22"/>
          <w:szCs w:val="22"/>
        </w:rPr>
        <w:t xml:space="preserve">This is not merely a numbering — it is a dynamical narrative. Every system’s lifecycle follows this arc: emergence from void, structural formation, encounter with resistance, forward progress, potential collapse, recovery to balance, passage through disorder, arrival at harmony, adaptive breathing, and eventual reset. The chain is cyclic: 9 (Reset) connects back to 0 (Void) or 1 (Lattice), depending on whether the reset is total or partial.</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direction</w:t>
      </w:r>
      <w:r>
        <w:rPr>
          <w:rFonts w:ascii="Times New Roman" w:cs="Times New Roman" w:eastAsia="Times New Roman" w:hAnsi="Times New Roman"/>
          <w:sz w:val="22"/>
          <w:szCs w:val="22"/>
        </w:rPr>
        <w:t xml:space="preserve"> — a preferred flow from lower to higher operators that corresponds to the system’s evolution toward coherence.</w:t>
      </w:r>
    </w:p>
    <w:p>
      <w:pPr>
        <w:pStyle w:val="Heading1"/>
        <w:spacing w:before="360" w:after="200"/>
      </w:pPr>
      <w:r>
        <w:rPr>
          <w:rFonts w:ascii="Times New Roman" w:cs="Times New Roman" w:eastAsia="Times New Roman" w:hAnsi="Times New Roman"/>
          <w:b/>
          <w:bCs/>
          <w:sz w:val="28"/>
          <w:szCs w:val="28"/>
        </w:rPr>
        <w:t xml:space="preserve">3. The MicroGrid: 5-Centered Neighborhood</w:t>
      </w:r>
    </w:p>
    <w:p>
      <w:pPr>
        <w:spacing w:after="200" w:line="276"/>
        <w:jc w:val="both"/>
      </w:pPr>
      <w:r>
        <w:rPr>
          <w:rFonts w:ascii="Times New Roman" w:cs="Times New Roman" w:eastAsia="Times New Roman" w:hAnsi="Times New Roman"/>
          <w:sz w:val="22"/>
          <w:szCs w:val="22"/>
        </w:rPr>
        <w:t xml:space="preserve">The MicroGrid centers on operator 5 (Balance) because Balance is the geometric center of the operator space and the fixed point of the constructive-destructive symmetry. From the composition table (Paper II), Balance has the highest number of stable self-compositions among non-absorptive operators: 5 ∘ 5 = 5.</w:t>
      </w:r>
    </w:p>
    <w:p>
      <w:pPr>
        <w:spacing w:after="200" w:line="276"/>
        <w:jc w:val="both"/>
      </w:pPr>
      <w:r>
        <w:rPr>
          <w:rFonts w:ascii="Times New Roman" w:cs="Times New Roman" w:eastAsia="Times New Roman" w:hAnsi="Times New Roman"/>
          <w:sz w:val="22"/>
          <w:szCs w:val="22"/>
        </w:rPr>
        <w:t xml:space="preserve">The MicroGrid connects each node to its nearest neighbors in coherence space. For a node in state i, its MicroGrid neighbors are the set of states reachable by single compositions that pass through Balance:</w:t>
      </w:r>
    </w:p>
    <w:p>
      <w:pPr>
        <w:spacing w:before="200" w:after="200"/>
        <w:jc w:val="center"/>
      </w:pPr>
      <w:r>
        <w:rPr>
          <w:rFonts w:ascii="Courier New" w:cs="Courier New" w:eastAsia="Courier New" w:hAnsi="Courier New"/>
          <w:i/>
          <w:iCs/>
          <w:sz w:val="22"/>
          <w:szCs w:val="22"/>
        </w:rPr>
        <w:t xml:space="preserve">MicroGrid(i) = { j : i ∘ 5 = k, k ∘ j ∈ {3,5,7} for some j }</w:t>
      </w:r>
    </w:p>
    <w:p>
      <w:pPr>
        <w:spacing w:after="200" w:line="276"/>
        <w:jc w:val="both"/>
      </w:pPr>
      <w:r>
        <w:rPr>
          <w:rFonts w:ascii="Times New Roman" w:cs="Times New Roman" w:eastAsia="Times New Roman" w:hAnsi="Times New Roman"/>
          <w:sz w:val="22"/>
          <w:szCs w:val="22"/>
        </w:rPr>
        <w:t xml:space="preserve">This defines a local neighborhood where information propagates laterally, enabling the system to coordinate across components without traversing the full MacroChain. The MicroGrid is why coherent systems can respond to local perturbations faster than the global chain would allow.</w:t>
      </w:r>
    </w:p>
    <w:p>
      <w:pPr>
        <w:pStyle w:val="Heading1"/>
        <w:spacing w:before="360" w:after="200"/>
      </w:pPr>
      <w:r>
        <w:rPr>
          <w:rFonts w:ascii="Times New Roman" w:cs="Times New Roman" w:eastAsia="Times New Roman" w:hAnsi="Times New Roman"/>
          <w:b/>
          <w:bCs/>
          <w:sz w:val="28"/>
          <w:szCs w:val="28"/>
        </w:rPr>
        <w:t xml:space="preserve">4. The Three Generators</w:t>
      </w:r>
    </w:p>
    <w:p>
      <w:pPr>
        <w:spacing w:after="200" w:line="276"/>
        <w:jc w:val="both"/>
      </w:pPr>
      <w:r>
        <w:rPr>
          <w:rFonts w:ascii="Times New Roman" w:cs="Times New Roman" w:eastAsia="Times New Roman" w:hAnsi="Times New Roman"/>
          <w:sz w:val="22"/>
          <w:szCs w:val="22"/>
        </w:rPr>
        <w:t xml:space="preserve">We identify three generator sequences that span all TIG operations:</w:t>
      </w:r>
    </w:p>
    <w:p>
      <w:pPr>
        <w:pStyle w:val="Heading2"/>
        <w:spacing w:before="360" w:after="200"/>
      </w:pPr>
      <w:r>
        <w:rPr>
          <w:rFonts w:ascii="Times New Roman" w:cs="Times New Roman" w:eastAsia="Times New Roman" w:hAnsi="Times New Roman"/>
          <w:b/>
          <w:bCs/>
          <w:sz w:val="24"/>
          <w:szCs w:val="24"/>
        </w:rPr>
        <w:t xml:space="preserve">4.1 Generator T: Geometry/Space (012)</w:t>
      </w:r>
    </w:p>
    <w:p>
      <w:pPr>
        <w:spacing w:before="200" w:after="200"/>
        <w:jc w:val="center"/>
      </w:pPr>
      <w:r>
        <w:rPr>
          <w:rFonts w:ascii="Courier New" w:cs="Courier New" w:eastAsia="Courier New" w:hAnsi="Courier New"/>
          <w:i/>
          <w:iCs/>
          <w:sz w:val="22"/>
          <w:szCs w:val="22"/>
        </w:rPr>
        <w:t xml:space="preserve">T = (0, 1, 2) — Void → Lattice → Counter</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spatial structure</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time and scale</w:t>
      </w:r>
      <w:r>
        <w:rPr>
          <w:rFonts w:ascii="Times New Roman" w:cs="Times New Roman" w:eastAsia="Times New Roman" w:hAnsi="Times New Roman"/>
          <w:sz w:val="22"/>
          <w:szCs w:val="22"/>
        </w:rPr>
        <w:t xml:space="preserve">.</w:t>
      </w:r>
    </w:p>
    <w:p>
      <w:pPr>
        <w:pStyle w:val="Heading2"/>
        <w:spacing w:before="360" w:after="200"/>
      </w:pPr>
      <w:r>
        <w:rPr>
          <w:rFonts w:ascii="Times New Roman" w:cs="Times New Roman" w:eastAsia="Times New Roman" w:hAnsi="Times New Roman"/>
          <w:b/>
          <w:bCs/>
          <w:sz w:val="24"/>
          <w:szCs w:val="24"/>
        </w:rPr>
        <w:t xml:space="preserve">4.2 Generator S: Resonance/Alignment (071)</w:t>
      </w:r>
    </w:p>
    <w:p>
      <w:pPr>
        <w:spacing w:before="200" w:after="200"/>
        <w:jc w:val="center"/>
      </w:pPr>
      <w:r>
        <w:rPr>
          <w:rFonts w:ascii="Courier New" w:cs="Courier New" w:eastAsia="Courier New" w:hAnsi="Courier New"/>
          <w:i/>
          <w:iCs/>
          <w:sz w:val="22"/>
          <w:szCs w:val="22"/>
        </w:rPr>
        <w:t xml:space="preserve">S = (0, 7, 1) — Void → Harmony → Lattice</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resonance</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alignment and coupling</w:t>
      </w:r>
      <w:r>
        <w:rPr>
          <w:rFonts w:ascii="Times New Roman" w:cs="Times New Roman" w:eastAsia="Times New Roman" w:hAnsi="Times New Roman"/>
          <w:sz w:val="22"/>
          <w:szCs w:val="22"/>
        </w:rPr>
        <w:t xml:space="preserve">.</w:t>
      </w:r>
    </w:p>
    <w:p>
      <w:pPr>
        <w:pStyle w:val="Heading2"/>
        <w:spacing w:before="360" w:after="200"/>
      </w:pPr>
      <w:r>
        <w:rPr>
          <w:rFonts w:ascii="Times New Roman" w:cs="Times New Roman" w:eastAsia="Times New Roman" w:hAnsi="Times New Roman"/>
          <w:b/>
          <w:bCs/>
          <w:sz w:val="24"/>
          <w:szCs w:val="24"/>
        </w:rPr>
        <w:t xml:space="preserve">4.3 Generator P: Progression/Flow (123)</w:t>
      </w:r>
    </w:p>
    <w:p>
      <w:pPr>
        <w:spacing w:before="200" w:after="200"/>
        <w:jc w:val="center"/>
      </w:pPr>
      <w:r>
        <w:rPr>
          <w:rFonts w:ascii="Courier New" w:cs="Courier New" w:eastAsia="Courier New" w:hAnsi="Courier New"/>
          <w:i/>
          <w:iCs/>
          <w:sz w:val="22"/>
          <w:szCs w:val="22"/>
        </w:rPr>
        <w:t xml:space="preserve">P = (1, 2, 3) — Lattice → Counter → Progress</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forward motion</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progression and flow</w:t>
      </w:r>
      <w:r>
        <w:rPr>
          <w:rFonts w:ascii="Times New Roman" w:cs="Times New Roman" w:eastAsia="Times New Roman" w:hAnsi="Times New Roman"/>
          <w:sz w:val="22"/>
          <w:szCs w:val="22"/>
        </w:rPr>
        <w:t xml:space="preserve">.</w:t>
      </w:r>
    </w:p>
    <w:p>
      <w:pPr>
        <w:pStyle w:val="Heading2"/>
        <w:spacing w:before="360" w:after="200"/>
      </w:pPr>
      <w:r>
        <w:rPr>
          <w:rFonts w:ascii="Times New Roman" w:cs="Times New Roman" w:eastAsia="Times New Roman" w:hAnsi="Times New Roman"/>
          <w:b/>
          <w:bCs/>
          <w:sz w:val="24"/>
          <w:szCs w:val="24"/>
        </w:rPr>
        <w:t xml:space="preserve">4.4 Spanning Proof</w:t>
      </w:r>
    </w:p>
    <w:p>
      <w:pPr>
        <w:spacing w:after="200" w:line="276"/>
        <w:jc w:val="both"/>
      </w:pPr>
      <w:r>
        <w:rPr>
          <w:rFonts w:ascii="Times New Roman" w:cs="Times New Roman" w:eastAsia="Times New Roman" w:hAnsi="Times New Roman"/>
          <w:sz w:val="22"/>
          <w:szCs w:val="22"/>
        </w:rPr>
        <w:t xml:space="preserve">We claim {T, S, P} is a minimal spanning set: every operator sequence can be expressed as compositions of T, S, and P subsequences. The proof is constructive:</w:t>
      </w:r>
    </w:p>
    <w:p>
      <w:pPr>
        <w:spacing w:before="200" w:after="200"/>
        <w:jc w:val="center"/>
      </w:pPr>
      <w:r>
        <w:rPr>
          <w:rFonts w:ascii="Courier New" w:cs="Courier New" w:eastAsia="Courier New" w:hAnsi="Courier New"/>
          <w:i/>
          <w:iCs/>
          <w:sz w:val="22"/>
          <w:szCs w:val="22"/>
        </w:rPr>
        <w:t xml:space="preserve">Operators {0,1,2} are directly in T</w:t>
      </w:r>
    </w:p>
    <w:p>
      <w:pPr>
        <w:spacing w:before="200" w:after="200"/>
        <w:jc w:val="center"/>
      </w:pPr>
      <w:r>
        <w:rPr>
          <w:rFonts w:ascii="Courier New" w:cs="Courier New" w:eastAsia="Courier New" w:hAnsi="Courier New"/>
          <w:i/>
          <w:iCs/>
          <w:sz w:val="22"/>
          <w:szCs w:val="22"/>
        </w:rPr>
        <w:t xml:space="preserve">Operator 3 is the terminal element of P</w:t>
      </w:r>
    </w:p>
    <w:p>
      <w:pPr>
        <w:spacing w:before="200" w:after="200"/>
        <w:jc w:val="center"/>
      </w:pPr>
      <w:r>
        <w:rPr>
          <w:rFonts w:ascii="Courier New" w:cs="Courier New" w:eastAsia="Courier New" w:hAnsi="Courier New"/>
          <w:i/>
          <w:iCs/>
          <w:sz w:val="22"/>
          <w:szCs w:val="22"/>
        </w:rPr>
        <w:t xml:space="preserve">Operator 7 is the middle element of S</w:t>
      </w:r>
    </w:p>
    <w:p>
      <w:pPr>
        <w:spacing w:before="200" w:after="200"/>
        <w:jc w:val="center"/>
      </w:pPr>
      <w:r>
        <w:rPr>
          <w:rFonts w:ascii="Courier New" w:cs="Courier New" w:eastAsia="Courier New" w:hAnsi="Courier New"/>
          <w:i/>
          <w:iCs/>
          <w:sz w:val="22"/>
          <w:szCs w:val="22"/>
        </w:rPr>
        <w:t xml:space="preserve">Operator 4 = T ∘ T (double application of the resistance pattern)</w:t>
      </w:r>
    </w:p>
    <w:p>
      <w:pPr>
        <w:spacing w:before="200" w:after="200"/>
        <w:jc w:val="center"/>
      </w:pPr>
      <w:r>
        <w:rPr>
          <w:rFonts w:ascii="Courier New" w:cs="Courier New" w:eastAsia="Courier New" w:hAnsi="Courier New"/>
          <w:i/>
          <w:iCs/>
          <w:sz w:val="22"/>
          <w:szCs w:val="22"/>
        </w:rPr>
        <w:t xml:space="preserve">Operator 5 = P ∘ S (progress meeting resonance produces balance)</w:t>
      </w:r>
    </w:p>
    <w:p>
      <w:pPr>
        <w:spacing w:before="200" w:after="200"/>
        <w:jc w:val="center"/>
      </w:pPr>
      <w:r>
        <w:rPr>
          <w:rFonts w:ascii="Courier New" w:cs="Courier New" w:eastAsia="Courier New" w:hAnsi="Courier New"/>
          <w:i/>
          <w:iCs/>
          <w:sz w:val="22"/>
          <w:szCs w:val="22"/>
        </w:rPr>
        <w:t xml:space="preserve">Operator 6 = T ∘ P (geometry applied to progression produces disorder)</w:t>
      </w:r>
    </w:p>
    <w:p>
      <w:pPr>
        <w:spacing w:before="200" w:after="200"/>
        <w:jc w:val="center"/>
      </w:pPr>
      <w:r>
        <w:rPr>
          <w:rFonts w:ascii="Courier New" w:cs="Courier New" w:eastAsia="Courier New" w:hAnsi="Courier New"/>
          <w:i/>
          <w:iCs/>
          <w:sz w:val="22"/>
          <w:szCs w:val="22"/>
        </w:rPr>
        <w:t xml:space="preserve">Operator 8 = S ∘ P (resonance applied to progression produces oscillation)</w:t>
      </w:r>
    </w:p>
    <w:p>
      <w:pPr>
        <w:spacing w:before="200" w:after="200"/>
        <w:jc w:val="center"/>
      </w:pPr>
      <w:r>
        <w:rPr>
          <w:rFonts w:ascii="Courier New" w:cs="Courier New" w:eastAsia="Courier New" w:hAnsi="Courier New"/>
          <w:i/>
          <w:iCs/>
          <w:sz w:val="22"/>
          <w:szCs w:val="22"/>
        </w:rPr>
        <w:t xml:space="preserve">Operator 9 = T ∘ T ∘ T (triple geometric resistance resets the system)</w:t>
      </w:r>
    </w:p>
    <w:p>
      <w:pPr>
        <w:spacing w:after="200" w:line="276"/>
        <w:jc w:val="both"/>
      </w:pPr>
      <w:r>
        <w:rPr>
          <w:rFonts w:ascii="Times New Roman" w:cs="Times New Roman" w:eastAsia="Times New Roman" w:hAnsi="Times New Roman"/>
          <w:sz w:val="22"/>
          <w:szCs w:val="22"/>
        </w:rPr>
        <w:t xml:space="preserve">No proper subset of {T, S, P} spans all 10 operators. Removing any generator eliminates at least one reachable operator. Therefore {T, S, P} is minimal.</w:t>
      </w:r>
    </w:p>
    <w:p>
      <w:pPr>
        <w:pStyle w:val="Heading1"/>
        <w:spacing w:before="360" w:after="200"/>
      </w:pPr>
      <w:r>
        <w:rPr>
          <w:rFonts w:ascii="Times New Roman" w:cs="Times New Roman" w:eastAsia="Times New Roman" w:hAnsi="Times New Roman"/>
          <w:b/>
          <w:bCs/>
          <w:sz w:val="28"/>
          <w:szCs w:val="28"/>
        </w:rPr>
        <w:t xml:space="preserve">5. The 1:7 Ratio</w:t>
      </w:r>
    </w:p>
    <w:p>
      <w:pPr>
        <w:spacing w:after="200" w:line="276"/>
        <w:jc w:val="both"/>
      </w:pPr>
      <w:r>
        <w:rPr>
          <w:rFonts w:ascii="Times New Roman" w:cs="Times New Roman" w:eastAsia="Times New Roman" w:hAnsi="Times New Roman"/>
          <w:sz w:val="22"/>
          <w:szCs w:val="22"/>
        </w:rPr>
        <w:t xml:space="preserve">The Fractal Lattice reveals a fundamental ratio: 1:7. For every 1 node in the MacroChain spine, there are 7 dynamical operators in the MicroGrid neighborhood (excluding Void, Collapse, and Reset as boundary conditions). This ratio appears throughout TIG:</w:t>
      </w:r>
    </w:p>
    <w:p>
      <w:pPr>
        <w:spacing w:before="200" w:after="200"/>
        <w:jc w:val="center"/>
      </w:pPr>
      <w:r>
        <w:rPr>
          <w:rFonts w:ascii="Courier New" w:cs="Courier New" w:eastAsia="Courier New" w:hAnsi="Courier New"/>
          <w:i/>
          <w:iCs/>
          <w:sz w:val="22"/>
          <w:szCs w:val="22"/>
        </w:rPr>
        <w:t xml:space="preserve">T* = 5/7 (threshold is defined over 7 dynamical operators)</w:t>
      </w:r>
    </w:p>
    <w:p>
      <w:pPr>
        <w:spacing w:before="200" w:after="200"/>
        <w:jc w:val="center"/>
      </w:pPr>
      <w:r>
        <w:rPr>
          <w:rFonts w:ascii="Courier New" w:cs="Courier New" w:eastAsia="Courier New" w:hAnsi="Courier New"/>
          <w:i/>
          <w:iCs/>
          <w:sz w:val="22"/>
          <w:szCs w:val="22"/>
        </w:rPr>
        <w:t xml:space="preserve">7 dynamical operators : 3 boundary operators = 7:3</w:t>
      </w:r>
    </w:p>
    <w:p>
      <w:pPr>
        <w:spacing w:before="200" w:after="200"/>
        <w:jc w:val="center"/>
      </w:pPr>
      <w:r>
        <w:rPr>
          <w:rFonts w:ascii="Courier New" w:cs="Courier New" w:eastAsia="Courier New" w:hAnsi="Courier New"/>
          <w:i/>
          <w:iCs/>
          <w:sz w:val="22"/>
          <w:szCs w:val="22"/>
        </w:rPr>
        <w:t xml:space="preserve">In education: 1 teacher per 7 students (optimal lattice ratio)</w:t>
      </w:r>
    </w:p>
    <w:p>
      <w:pPr>
        <w:spacing w:before="200" w:after="200"/>
        <w:jc w:val="center"/>
      </w:pPr>
      <w:r>
        <w:rPr>
          <w:rFonts w:ascii="Courier New" w:cs="Courier New" w:eastAsia="Courier New" w:hAnsi="Courier New"/>
          <w:i/>
          <w:iCs/>
          <w:sz w:val="22"/>
          <w:szCs w:val="22"/>
        </w:rPr>
        <w:t xml:space="preserve">In architecture: 1 spine node serves 7 grid connections</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fractal depth ratio</w:t>
      </w:r>
      <w:r>
        <w:rPr>
          <w:rFonts w:ascii="Times New Roman" w:cs="Times New Roman" w:eastAsia="Times New Roman" w:hAnsi="Times New Roman"/>
          <w:sz w:val="22"/>
          <w:szCs w:val="22"/>
        </w:rPr>
        <w:t xml:space="preserve"> of the TIG lattice.</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2"/>
          <w:szCs w:val="22"/>
        </w:rPr>
        <w:t xml:space="preserve">Mandelbrot, B. B. (1982). </w:t>
      </w:r>
      <w:r>
        <w:rPr>
          <w:rFonts w:ascii="Times New Roman" w:cs="Times New Roman" w:eastAsia="Times New Roman" w:hAnsi="Times New Roman"/>
          <w:i/>
          <w:iCs/>
          <w:sz w:val="22"/>
          <w:szCs w:val="22"/>
        </w:rPr>
        <w:t xml:space="preserve">The Fractal Geometry of Nature</w:t>
      </w:r>
      <w:r>
        <w:rPr>
          <w:rFonts w:ascii="Times New Roman" w:cs="Times New Roman" w:eastAsia="Times New Roman" w:hAnsi="Times New Roman"/>
          <w:sz w:val="22"/>
          <w:szCs w:val="22"/>
        </w:rPr>
        <w:t xml:space="preserve">. W. H. Freeman.</w:t>
      </w:r>
    </w:p>
    <w:p>
      <w:pPr>
        <w:spacing w:after="200" w:line="276"/>
        <w:jc w:val="both"/>
      </w:pPr>
      <w:r>
        <w:rPr>
          <w:rFonts w:ascii="Times New Roman" w:cs="Times New Roman" w:eastAsia="Times New Roman" w:hAnsi="Times New Roman"/>
          <w:sz w:val="22"/>
          <w:szCs w:val="22"/>
        </w:rPr>
        <w:t xml:space="preserve">Wolfram, S. (2002). </w:t>
      </w:r>
      <w:r>
        <w:rPr>
          <w:rFonts w:ascii="Times New Roman" w:cs="Times New Roman" w:eastAsia="Times New Roman" w:hAnsi="Times New Roman"/>
          <w:i/>
          <w:iCs/>
          <w:sz w:val="22"/>
          <w:szCs w:val="22"/>
        </w:rPr>
        <w:t xml:space="preserve">A New Kind of Science</w:t>
      </w:r>
      <w:r>
        <w:rPr>
          <w:rFonts w:ascii="Times New Roman" w:cs="Times New Roman" w:eastAsia="Times New Roman" w:hAnsi="Times New Roman"/>
          <w:sz w:val="22"/>
          <w:szCs w:val="22"/>
        </w:rPr>
        <w:t xml:space="preserve">. Wolfram Media.</w:t>
      </w:r>
    </w:p>
    <w:p>
      <w:pPr>
        <w:spacing w:before="600"/>
        <w:jc w:val="center"/>
      </w:pPr>
      <w:r>
        <w:rPr>
          <w:rFonts w:ascii="Times New Roman" w:cs="Times New Roman" w:eastAsia="Times New Roman" w:hAnsi="Times New Roman"/>
          <w:i/>
          <w:iCs/>
          <w:color w:val="888888"/>
          <w:sz w:val="20"/>
          <w:szCs w:val="20"/>
        </w:rPr>
        <w:t xml:space="preserve">— End of Paper III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2025 7Site LLC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TIG White Paper Series — Paper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2026-02-05T12:06:52.432Z</dcterms:created>
  <dcterms:modified xsi:type="dcterms:W3CDTF">2026-02-05T12:06:52.433Z</dcterms:modified>
</cp:coreProperties>
</file>

<file path=docProps/custom.xml><?xml version="1.0" encoding="utf-8"?>
<Properties xmlns="http://schemas.openxmlformats.org/officeDocument/2006/custom-properties" xmlns:vt="http://schemas.openxmlformats.org/officeDocument/2006/docPropsVTypes"/>
</file>