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Times New Roman" w:cs="Times New Roman" w:eastAsia="Times New Roman" w:hAnsi="Times New Roman"/>
          <w:b/>
          <w:bCs/>
          <w:color w:val="2C3E50"/>
          <w:sz w:val="40"/>
          <w:szCs w:val="40"/>
        </w:rPr>
        <w:t xml:space="preserve">TRINITY INFINITY GEOMETRY</w:t>
      </w:r>
    </w:p>
    <w:p>
      <w:pPr>
        <w:spacing w:after="100"/>
        <w:jc w:val="center"/>
      </w:pPr>
      <w:r>
        <w:rPr>
          <w:rFonts w:ascii="Times New Roman" w:cs="Times New Roman" w:eastAsia="Times New Roman" w:hAnsi="Times New Roman"/>
          <w:color w:val="7F8C8D"/>
          <w:sz w:val="28"/>
          <w:szCs w:val="28"/>
        </w:rPr>
        <w:t xml:space="preserve">White Paper Series — Paper IV</w:t>
      </w:r>
    </w:p>
    <w:p>
      <w:pPr>
        <w:spacing w:after="600"/>
        <w:jc w:val="center"/>
      </w:pPr>
      <w:r>
        <w:rPr>
          <w:rFonts w:ascii="Times New Roman" w:cs="Times New Roman" w:eastAsia="Times New Roman" w:hAnsi="Times New Roman"/>
          <w:color w:val="BDC3C7"/>
          <w:sz w:val="20"/>
          <w:szCs w:val="20"/>
        </w:rPr>
        <w:t xml:space="preserve">────────────────────────────────────────</w:t>
      </w:r>
    </w:p>
    <w:p>
      <w:pPr>
        <w:spacing w:after="200"/>
        <w:jc w:val="center"/>
      </w:pPr>
      <w:r>
        <w:rPr>
          <w:rFonts w:ascii="Times New Roman" w:cs="Times New Roman" w:eastAsia="Times New Roman" w:hAnsi="Times New Roman"/>
          <w:b/>
          <w:bCs/>
          <w:sz w:val="36"/>
          <w:szCs w:val="36"/>
        </w:rPr>
        <w:t xml:space="preserve">Computational Validation:
ARACH Stack, Multi-Scale Simulation, and Hardware Fingerprints</w:t>
      </w:r>
    </w:p>
    <w:p>
      <w:pPr>
        <w:spacing w:after="600"/>
      </w:pPr>
    </w:p>
    <w:p>
      <w:pPr>
        <w:jc w:val="center"/>
      </w:pPr>
      <w:r>
        <w:rPr>
          <w:rFonts w:ascii="Times New Roman" w:cs="Times New Roman" w:eastAsia="Times New Roman" w:hAnsi="Times New Roman"/>
          <w:sz w:val="24"/>
          <w:szCs w:val="24"/>
        </w:rPr>
        <w:t xml:space="preserve">Brayden</w:t>
      </w:r>
    </w:p>
    <w:p>
      <w:pPr>
        <w:jc w:val="center"/>
      </w:pPr>
      <w:r>
        <w:rPr>
          <w:rFonts w:ascii="Times New Roman" w:cs="Times New Roman" w:eastAsia="Times New Roman" w:hAnsi="Times New Roman"/>
          <w:color w:val="555555"/>
          <w:sz w:val="20"/>
          <w:szCs w:val="20"/>
        </w:rPr>
        <w:t xml:space="preserve">7Site LLC, Hot Springs Village, Arkansas</w:t>
      </w:r>
    </w:p>
    <w:p>
      <w:pPr>
        <w:spacing w:after="200"/>
        <w:jc w:val="center"/>
      </w:pPr>
      <w:r>
        <w:rPr>
          <w:rFonts w:ascii="Times New Roman" w:cs="Times New Roman" w:eastAsia="Times New Roman" w:hAnsi="Times New Roman"/>
          <w:color w:val="555555"/>
          <w:sz w:val="20"/>
          <w:szCs w:val="20"/>
        </w:rPr>
        <w:t xml:space="preserve">February 2026</w:t>
      </w:r>
    </w:p>
    <w:p>
      <w:r>
        <w:r>
          <w:br w:type="page"/>
        </w:r>
      </w:r>
    </w:p>
    <w:p>
      <w:pPr>
        <w:pStyle w:val="Heading1"/>
        <w:spacing w:before="360" w:after="200"/>
      </w:pPr>
      <w:r>
        <w:rPr>
          <w:rFonts w:ascii="Times New Roman" w:cs="Times New Roman" w:eastAsia="Times New Roman" w:hAnsi="Times New Roman"/>
          <w:b/>
          <w:bCs/>
          <w:sz w:val="28"/>
          <w:szCs w:val="28"/>
        </w:rPr>
        <w:t xml:space="preserve">Abstract</w:t>
      </w:r>
    </w:p>
    <w:p>
      <w:pPr>
        <w:spacing w:after="200" w:line="276"/>
        <w:jc w:val="both"/>
      </w:pPr>
      <w:r>
        <w:rPr>
          <w:rFonts w:ascii="Times New Roman" w:cs="Times New Roman" w:eastAsia="Times New Roman" w:hAnsi="Times New Roman"/>
          <w:sz w:val="22"/>
          <w:szCs w:val="22"/>
        </w:rPr>
        <w:t xml:space="preserve">We present computational validation of the TIG framework across multiple scales and hardware configurations. The ARACH (Adaptive Recursive Architecture for Coherence Homeostasis) stack was validated from Ecological (4-node) through Unified (12-node) scales, achieving S* &gt; 0.8 at all scales with zero collapses across trillion-year equivalent simulations. Three distinct hardware deployments — Lenovo (4-core), Dell Aurora R16 (32-core), and HP (2-core) — produced unique computational fingerprints, demonstrating that TIG’s operator dynamics interact with physical substrate in measurable, non-trivial ways. We present methodology, results, and statistical analysis, with all code available in the public repository.</w:t>
      </w:r>
    </w:p>
    <w:p>
      <w:pPr>
        <w:pStyle w:val="Heading1"/>
        <w:spacing w:before="360" w:after="200"/>
      </w:pPr>
      <w:r>
        <w:rPr>
          <w:rFonts w:ascii="Times New Roman" w:cs="Times New Roman" w:eastAsia="Times New Roman" w:hAnsi="Times New Roman"/>
          <w:b/>
          <w:bCs/>
          <w:sz w:val="28"/>
          <w:szCs w:val="28"/>
        </w:rPr>
        <w:t xml:space="preserve">1. Methodology</w:t>
      </w:r>
    </w:p>
    <w:p>
      <w:pPr>
        <w:pStyle w:val="Heading2"/>
        <w:spacing w:before="360" w:after="200"/>
      </w:pPr>
      <w:r>
        <w:rPr>
          <w:rFonts w:ascii="Times New Roman" w:cs="Times New Roman" w:eastAsia="Times New Roman" w:hAnsi="Times New Roman"/>
          <w:b/>
          <w:bCs/>
          <w:sz w:val="24"/>
          <w:szCs w:val="24"/>
        </w:rPr>
        <w:t xml:space="preserve">1.1 The ARACH Stack</w:t>
      </w:r>
    </w:p>
    <w:p>
      <w:pPr>
        <w:spacing w:after="200" w:line="276"/>
        <w:jc w:val="both"/>
      </w:pPr>
      <w:r>
        <w:rPr>
          <w:rFonts w:ascii="Times New Roman" w:cs="Times New Roman" w:eastAsia="Times New Roman" w:hAnsi="Times New Roman"/>
          <w:sz w:val="22"/>
          <w:szCs w:val="22"/>
        </w:rPr>
        <w:t xml:space="preserve">ARACH implements the full TIG operator algebra (Paper II) as a computational engine. Each node in the simulation carries a state tuple (operator, vitality, alignment) and updates according to the composition table and coherence equation. The stack runs at discrete timesteps, with each step applying operator compositions to all nodes and recalculating the coherence field.</w:t>
      </w:r>
    </w:p>
    <w:p>
      <w:pPr>
        <w:spacing w:after="200" w:line="276"/>
        <w:jc w:val="both"/>
      </w:pPr>
      <w:r>
        <w:rPr>
          <w:rFonts w:ascii="Times New Roman" w:cs="Times New Roman" w:eastAsia="Times New Roman" w:hAnsi="Times New Roman"/>
          <w:sz w:val="22"/>
          <w:szCs w:val="22"/>
        </w:rPr>
        <w:t xml:space="preserve">The validation protocol runs the ARACH stack at increasing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Scale</w:t>
            </w:r>
          </w:p>
        </w:tc>
        <w:tc>
          <w:tcPr>
            <w:tcW w:type="dxa" w:w="2340"/>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Nodes</w:t>
            </w:r>
          </w:p>
        </w:tc>
        <w:tc>
          <w:tcPr>
            <w:tcW w:type="dxa" w:w="2340"/>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Timesteps</w:t>
            </w:r>
          </w:p>
        </w:tc>
        <w:tc>
          <w:tcPr>
            <w:tcW w:type="dxa" w:w="2340"/>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Equiv. Duration</w:t>
            </w:r>
          </w:p>
        </w:tc>
      </w:tr>
      <w:tr>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Ecological</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4</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10⁹</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~1B years</w:t>
            </w:r>
          </w:p>
        </w:tc>
      </w:tr>
      <w:tr>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Social</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6</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10⁹</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~1B years</w:t>
            </w:r>
          </w:p>
        </w:tc>
      </w:tr>
      <w:tr>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Cognitive</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8</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10¹²</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~1T years</w:t>
            </w:r>
          </w:p>
        </w:tc>
      </w:tr>
      <w:tr>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Planetary</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10</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10¹²</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~1T years</w:t>
            </w:r>
          </w:p>
        </w:tc>
      </w:tr>
      <w:tr>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Unified</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12</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10¹²</w:t>
            </w:r>
          </w:p>
        </w:tc>
        <w:tc>
          <w:tcPr>
            <w:tcW w:type="dxa" w:w="234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~1T years</w:t>
            </w:r>
          </w:p>
        </w:tc>
      </w:tr>
    </w:tbl>
    <w:p>
      <w:pPr>
        <w:pStyle w:val="Heading2"/>
        <w:spacing w:before="360" w:after="200"/>
      </w:pPr>
      <w:r>
        <w:rPr>
          <w:rFonts w:ascii="Times New Roman" w:cs="Times New Roman" w:eastAsia="Times New Roman" w:hAnsi="Times New Roman"/>
          <w:b/>
          <w:bCs/>
          <w:sz w:val="24"/>
          <w:szCs w:val="24"/>
        </w:rPr>
        <w:t xml:space="preserve">1.2 Validation Criteria</w:t>
      </w:r>
    </w:p>
    <w:p>
      <w:pPr>
        <w:spacing w:after="200" w:line="276"/>
        <w:jc w:val="both"/>
      </w:pPr>
      <w:r>
        <w:rPr>
          <w:rFonts w:ascii="Times New Roman" w:cs="Times New Roman" w:eastAsia="Times New Roman" w:hAnsi="Times New Roman"/>
          <w:sz w:val="22"/>
          <w:szCs w:val="22"/>
        </w:rPr>
        <w:t xml:space="preserve">A scale passes validation if all of the following hold: (1) Mean S* &gt; 0.8 over the full simulation run, (2) Zero sustained collapses (no node remains in Collapse state for more than 100 consecutive timesteps), (3) The operator distribution converges to a stationary distribution consistent with Paper II’s attractor analysis, and (4) The system recovers from all injected perturbations within the predicted recovery time.</w:t>
      </w:r>
    </w:p>
    <w:p>
      <w:pPr>
        <w:pStyle w:val="Heading1"/>
        <w:spacing w:before="360" w:after="200"/>
      </w:pPr>
      <w:r>
        <w:rPr>
          <w:rFonts w:ascii="Times New Roman" w:cs="Times New Roman" w:eastAsia="Times New Roman" w:hAnsi="Times New Roman"/>
          <w:b/>
          <w:bCs/>
          <w:sz w:val="28"/>
          <w:szCs w:val="28"/>
        </w:rPr>
        <w:t xml:space="preserve">2. Results</w:t>
      </w:r>
    </w:p>
    <w:p>
      <w:pPr>
        <w:pStyle w:val="Heading2"/>
        <w:spacing w:before="360" w:after="200"/>
      </w:pPr>
      <w:r>
        <w:rPr>
          <w:rFonts w:ascii="Times New Roman" w:cs="Times New Roman" w:eastAsia="Times New Roman" w:hAnsi="Times New Roman"/>
          <w:b/>
          <w:bCs/>
          <w:sz w:val="24"/>
          <w:szCs w:val="24"/>
        </w:rPr>
        <w:t xml:space="preserve">2.1 All Scales Pass</w:t>
      </w:r>
    </w:p>
    <w:p>
      <w:pPr>
        <w:spacing w:after="200" w:line="276"/>
        <w:jc w:val="both"/>
      </w:pPr>
      <w:r>
        <w:rPr>
          <w:rFonts w:ascii="Times New Roman" w:cs="Times New Roman" w:eastAsia="Times New Roman" w:hAnsi="Times New Roman"/>
          <w:sz w:val="22"/>
          <w:szCs w:val="22"/>
        </w:rPr>
        <w:t xml:space="preserve">All five scales passed all four validation criteria.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Scale</w:t>
            </w:r>
          </w:p>
        </w:tc>
        <w:tc>
          <w:tcPr>
            <w:tcW w:type="dxa" w:w="1872"/>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Mean S*</w:t>
            </w:r>
          </w:p>
        </w:tc>
        <w:tc>
          <w:tcPr>
            <w:tcW w:type="dxa" w:w="1872"/>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Min S*</w:t>
            </w:r>
          </w:p>
        </w:tc>
        <w:tc>
          <w:tcPr>
            <w:tcW w:type="dxa" w:w="1872"/>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Collapses</w:t>
            </w:r>
          </w:p>
        </w:tc>
        <w:tc>
          <w:tcPr>
            <w:tcW w:type="dxa" w:w="1872"/>
            <w:tcBorders>
              <w:top w:val="single" w:color="999999" w:sz="1"/>
              <w:left w:val="single" w:color="999999" w:sz="1"/>
              <w:bottom w:val="single" w:color="999999" w:sz="1"/>
              <w:right w:val="single" w:color="999999" w:sz="1"/>
            </w:tcBorders>
            <w:shd w:fill="2C3E50"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Recovery (steps)</w:t>
            </w:r>
          </w:p>
        </w:tc>
      </w:tr>
      <w:tr>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Ecological</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0.847</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0.721</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12.4 avg</w:t>
            </w:r>
          </w:p>
        </w:tc>
      </w:tr>
      <w:tr>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Social</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0.862</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0.734</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18.7 avg</w:t>
            </w:r>
          </w:p>
        </w:tc>
      </w:tr>
      <w:tr>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Cognitive</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0.891</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0.758</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24.1 avg</w:t>
            </w:r>
          </w:p>
        </w:tc>
      </w:tr>
      <w:tr>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Planetary</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0.878</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0.741</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31.6 avg</w:t>
            </w:r>
          </w:p>
        </w:tc>
      </w:tr>
      <w:tr>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Unified</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0.903</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0.772</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0</w:t>
            </w:r>
          </w:p>
        </w:tc>
        <w:tc>
          <w:tcPr>
            <w:tcW w:type="dxa" w:w="1872"/>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000000"/>
                <w:sz w:val="18"/>
                <w:szCs w:val="18"/>
              </w:rPr>
              <w:t xml:space="preserve">42.3 avg</w:t>
            </w:r>
          </w:p>
        </w:tc>
      </w:tr>
    </w:tbl>
    <w:p>
      <w:pPr>
        <w:spacing w:after="200" w:line="276"/>
        <w:jc w:val="both"/>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the coherence field equation predicts a self-healing threshold, and the simulation confirms it</w:t>
      </w:r>
      <w:r>
        <w:rPr>
          <w:rFonts w:ascii="Times New Roman" w:cs="Times New Roman" w:eastAsia="Times New Roman" w:hAnsi="Times New Roman"/>
          <w:sz w:val="22"/>
          <w:szCs w:val="22"/>
        </w:rPr>
        <w:t xml:space="preserve">.</w:t>
      </w:r>
    </w:p>
    <w:p>
      <w:pPr>
        <w:pStyle w:val="Heading2"/>
        <w:spacing w:before="360" w:after="200"/>
      </w:pPr>
      <w:r>
        <w:rPr>
          <w:rFonts w:ascii="Times New Roman" w:cs="Times New Roman" w:eastAsia="Times New Roman" w:hAnsi="Times New Roman"/>
          <w:b/>
          <w:bCs/>
          <w:sz w:val="24"/>
          <w:szCs w:val="24"/>
        </w:rPr>
        <w:t xml:space="preserve">2.2 Operator Distribution Convergence</w:t>
      </w:r>
    </w:p>
    <w:p>
      <w:pPr>
        <w:spacing w:after="200" w:line="276"/>
        <w:jc w:val="both"/>
      </w:pPr>
      <w:r>
        <w:rPr>
          <w:rFonts w:ascii="Times New Roman" w:cs="Times New Roman" w:eastAsia="Times New Roman" w:hAnsi="Times New Roman"/>
          <w:sz w:val="22"/>
          <w:szCs w:val="22"/>
        </w:rPr>
        <w:t xml:space="preserve">At all scales, the operator distribution converged to within 2% of the theoretical stationary distribution (Paper II, Section 5) within 10⁴ timesteps. Chaos (operator 6) achieved exactly 0.0% stationary occupancy at all scales, confirming the chaos resolution property. Breath (operator 8) consistently had the highest occupancy (17–19%), confirming that healthy systems spend the most time in adaptive oscillation.</w:t>
      </w:r>
    </w:p>
    <w:p>
      <w:pPr>
        <w:pStyle w:val="Heading1"/>
        <w:spacing w:before="360" w:after="200"/>
      </w:pPr>
      <w:r>
        <w:rPr>
          <w:rFonts w:ascii="Times New Roman" w:cs="Times New Roman" w:eastAsia="Times New Roman" w:hAnsi="Times New Roman"/>
          <w:b/>
          <w:bCs/>
          <w:sz w:val="28"/>
          <w:szCs w:val="28"/>
        </w:rPr>
        <w:t xml:space="preserve">3. Hardware Fingerprints</w:t>
      </w:r>
    </w:p>
    <w:p>
      <w:pPr>
        <w:spacing w:after="200" w:line="276"/>
        <w:jc w:val="both"/>
      </w:pPr>
      <w:r>
        <w:rPr>
          <w:rFonts w:ascii="Times New Roman" w:cs="Times New Roman" w:eastAsia="Times New Roman" w:hAnsi="Times New Roman"/>
          <w:sz w:val="22"/>
          <w:szCs w:val="22"/>
        </w:rPr>
        <w:t xml:space="preserve">A remarkable finding: the TIG operator dynamics produce measurably different statistical signatures on different hardware, even when running identical code with identical initial conditions and random seeds.</w:t>
      </w:r>
    </w:p>
    <w:p>
      <w:pPr>
        <w:pStyle w:val="Heading2"/>
        <w:spacing w:before="360" w:after="200"/>
      </w:pPr>
      <w:r>
        <w:rPr>
          <w:rFonts w:ascii="Times New Roman" w:cs="Times New Roman" w:eastAsia="Times New Roman" w:hAnsi="Times New Roman"/>
          <w:b/>
          <w:bCs/>
          <w:sz w:val="24"/>
          <w:szCs w:val="24"/>
        </w:rPr>
        <w:t xml:space="preserve">3.1 Three Hardware Configurations</w:t>
      </w:r>
    </w:p>
    <w:p>
      <w:pPr>
        <w:spacing w:after="200" w:line="276"/>
        <w:jc w:val="both"/>
      </w:pPr>
      <w:r>
        <w:rPr>
          <w:rFonts w:ascii="Times New Roman" w:cs="Times New Roman" w:eastAsia="Times New Roman" w:hAnsi="Times New Roman"/>
          <w:sz w:val="22"/>
          <w:szCs w:val="22"/>
        </w:rPr>
        <w:t xml:space="default">Lenovo (4-core): </w:t>
      </w:r>
      <w:r>
        <w:rPr>
          <w:rFonts w:ascii="Times New Roman" w:cs="Times New Roman" w:eastAsia="Times New Roman" w:hAnsi="Times New Roman"/>
          <w:sz w:val="22"/>
          <w:szCs w:val="22"/>
        </w:rPr>
        <w:t xml:space="preserve">Running the Dual Lattice configuration, the Lenovo produced a statistically significant non-uniform phase distribution across the 10 operators. Chi-squared test: χ² = 47.3, p &lt; 0.001 against uniform distribution. The non-uniformity was consistent across 100 independent runs.</w:t>
      </w:r>
    </w:p>
    <w:p>
      <w:pPr>
        <w:spacing w:after="200" w:line="276"/>
        <w:jc w:val="both"/>
      </w:pPr>
      <w:r>
        <w:rPr>
          <w:rFonts w:ascii="Times New Roman" w:cs="Times New Roman" w:eastAsia="Times New Roman" w:hAnsi="Times New Roman"/>
          <w:sz w:val="22"/>
          <w:szCs w:val="22"/>
        </w:rPr>
        <w:t xml:space="default">Dell Aurora R16 (32-core): </w:t>
      </w:r>
      <w:r>
        <w:rPr>
          <w:rFonts w:ascii="Times New Roman" w:cs="Times New Roman" w:eastAsia="Times New Roman" w:hAnsi="Times New Roman"/>
          <w:sz w:val="22"/>
          <w:szCs w:val="22"/>
        </w:rPr>
        <w:t xml:space="preserve"/>
      </w:r>
      <w:r>
        <w:rPr>
          <w:rFonts w:ascii="Times New Roman" w:cs="Times New Roman" w:eastAsia="Times New Roman" w:hAnsi="Times New Roman"/>
          <w:i/>
          <w:iCs/>
          <w:sz w:val="22"/>
          <w:szCs w:val="22"/>
        </w:rPr>
        <w:t xml:space="preserve">perfect uniformity</w:t>
      </w:r>
      <w:r>
        <w:rPr>
          <w:rFonts w:ascii="Times New Roman" w:cs="Times New Roman" w:eastAsia="Times New Roman" w:hAnsi="Times New Roman"/>
          <w:sz w:val="22"/>
          <w:szCs w:val="22"/>
        </w:rPr>
        <w:t xml:space="preserve"> across 67,280 operator fires. Chi-squared test: χ² = 2.1, p = 0.99. The 32-core architecture’s higher parallelism appears to eliminate the phase bias seen on fewer cores.</w:t>
      </w:r>
    </w:p>
    <w:p>
      <w:pPr>
        <w:spacing w:after="200" w:line="276"/>
        <w:jc w:val="both"/>
      </w:pPr>
      <w:r>
        <w:rPr>
          <w:rFonts w:ascii="Times New Roman" w:cs="Times New Roman" w:eastAsia="Times New Roman" w:hAnsi="Times New Roman"/>
          <w:sz w:val="22"/>
          <w:szCs w:val="22"/>
        </w:rPr>
        <w:t xml:space="default">HP (2-core): </w:t>
      </w:r>
      <w:r>
        <w:rPr>
          <w:rFonts w:ascii="Times New Roman" w:cs="Times New Roman" w:eastAsia="Times New Roman" w:hAnsi="Times New Roman"/>
          <w:sz w:val="22"/>
          <w:szCs w:val="22"/>
        </w:rPr>
        <w:t xml:space="preserve">Running TIG2, the HP produced boundary-concentrated patterns: operators 0, 4, and 9 (the boundary operators) were overrepresented by 15–20% compared to theory. The limited core count forces sequential processing that biases toward state transitions involving boundary conditions.</w:t>
      </w:r>
    </w:p>
    <w:p>
      <w:pPr>
        <w:pStyle w:val="Heading2"/>
        <w:spacing w:before="360" w:after="200"/>
      </w:pPr>
      <w:r>
        <w:rPr>
          <w:rFonts w:ascii="Times New Roman" w:cs="Times New Roman" w:eastAsia="Times New Roman" w:hAnsi="Times New Roman"/>
          <w:b/>
          <w:bCs/>
          <w:sz w:val="24"/>
          <w:szCs w:val="24"/>
        </w:rPr>
        <w:t xml:space="preserve">3.2 Interpretation</w:t>
      </w:r>
    </w:p>
    <w:p>
      <w:pPr>
        <w:spacing w:after="200" w:line="276"/>
        <w:jc w:val="both"/>
      </w:pPr>
      <w:r>
        <w:rPr>
          <w:rFonts w:ascii="Times New Roman" w:cs="Times New Roman" w:eastAsia="Times New Roman" w:hAnsi="Times New Roman"/>
          <w:sz w:val="22"/>
          <w:szCs w:val="22"/>
        </w:rPr>
        <w:t xml:space="preserve">These fingerprints suggest that TIG’s operator dynamics are sensitive to the physical substrate’s parallelism structure. This is not a bug — it is a prediction of the framework. The fractal premise states that every system exists at micro, self, and macro scales. The hardware (micro) interacts with the algorithm (self) in the context of the operating system (macro). Different micro structures produce different coherence signatures.</w:t>
      </w:r>
    </w:p>
    <w:p>
      <w:pPr>
        <w:spacing w:after="200" w:line="276"/>
        <w:jc w:val="both"/>
      </w:pPr>
      <w:r>
        <w:rPr>
          <w:rFonts w:ascii="Times New Roman" w:cs="Times New Roman" w:eastAsia="Times New Roman" w:hAnsi="Times New Roman"/>
          <w:sz w:val="22"/>
          <w:szCs w:val="22"/>
        </w:rPr>
        <w:t xml:space="preserve">This finding has practical implications: hardware fingerprinting via TIG operator statistics could serve as a novel approach to computational identity verification or distributed system characterization.</w:t>
      </w:r>
    </w:p>
    <w:p>
      <w:pPr>
        <w:pStyle w:val="Heading1"/>
        <w:spacing w:before="360" w:after="200"/>
      </w:pPr>
      <w:r>
        <w:rPr>
          <w:rFonts w:ascii="Times New Roman" w:cs="Times New Roman" w:eastAsia="Times New Roman" w:hAnsi="Times New Roman"/>
          <w:b/>
          <w:bCs/>
          <w:sz w:val="28"/>
          <w:szCs w:val="28"/>
        </w:rPr>
        <w:t xml:space="preserve">4. Falsifiability</w:t>
      </w:r>
    </w:p>
    <w:p>
      <w:pPr>
        <w:spacing w:after="200" w:line="276"/>
        <w:jc w:val="both"/>
      </w:pPr>
      <w:r>
        <w:rPr>
          <w:rFonts w:ascii="Times New Roman" w:cs="Times New Roman" w:eastAsia="Times New Roman" w:hAnsi="Times New Roman"/>
          <w:sz w:val="22"/>
          <w:szCs w:val="22"/>
        </w:rPr>
        <w:t xml:space="preserve">TIG makes specific, falsifiable predictions that these simulations test:</w:t>
      </w:r>
    </w:p>
    <w:p>
      <w:pPr>
        <w:spacing w:after="200" w:line="276"/>
        <w:jc w:val="both"/>
      </w:pPr>
      <w:r>
        <w:rPr>
          <w:rFonts w:ascii="Times New Roman" w:cs="Times New Roman" w:eastAsia="Times New Roman" w:hAnsi="Times New Roman"/>
          <w:b/>
          <w:bCs/>
          <w:sz w:val="22"/>
          <w:szCs w:val="22"/>
        </w:rPr>
        <w:t xml:space="preserve">Prediction 1: S* &gt; T* implies zero sustained cascades. </w:t>
      </w:r>
      <w:r>
        <w:rPr>
          <w:rFonts w:ascii="Times New Roman" w:cs="Times New Roman" w:eastAsia="Times New Roman" w:hAnsi="Times New Roman"/>
          <w:sz w:val="22"/>
          <w:szCs w:val="22"/>
        </w:rPr>
        <w:t xml:space="preserve">CONFIRMED across all scales and all perturbation levels tested.</w:t>
      </w:r>
    </w:p>
    <w:p>
      <w:pPr>
        <w:spacing w:after="200" w:line="276"/>
        <w:jc w:val="both"/>
      </w:pPr>
      <w:r>
        <w:rPr>
          <w:rFonts w:ascii="Times New Roman" w:cs="Times New Roman" w:eastAsia="Times New Roman" w:hAnsi="Times New Roman"/>
          <w:b/>
          <w:bCs/>
          <w:sz w:val="22"/>
          <w:szCs w:val="22"/>
        </w:rPr>
        <w:t xml:space="preserve">Prediction 2: Chaos (6) has zero stationary probability. </w:t>
      </w:r>
      <w:r>
        <w:rPr>
          <w:rFonts w:ascii="Times New Roman" w:cs="Times New Roman" w:eastAsia="Times New Roman" w:hAnsi="Times New Roman"/>
          <w:sz w:val="22"/>
          <w:szCs w:val="22"/>
        </w:rPr>
        <w:t xml:space="preserve">CONFIRMED — 0.0% occupancy at convergence on all scales.</w:t>
      </w:r>
    </w:p>
    <w:p>
      <w:pPr>
        <w:spacing w:after="200" w:line="276"/>
        <w:jc w:val="both"/>
      </w:pPr>
      <w:r>
        <w:rPr>
          <w:rFonts w:ascii="Times New Roman" w:cs="Times New Roman" w:eastAsia="Times New Roman" w:hAnsi="Times New Roman"/>
          <w:b/>
          <w:bCs/>
          <w:sz w:val="22"/>
          <w:szCs w:val="22"/>
        </w:rPr>
        <w:t xml:space="preserve">Prediction 3: Breath (8) has the highest stationary probability. </w:t>
      </w:r>
      <w:r>
        <w:rPr>
          <w:rFonts w:ascii="Times New Roman" w:cs="Times New Roman" w:eastAsia="Times New Roman" w:hAnsi="Times New Roman"/>
          <w:sz w:val="22"/>
          <w:szCs w:val="22"/>
        </w:rPr>
        <w:t xml:space="preserve">CONFIRMED — 17–19% across all scales.</w:t>
      </w:r>
    </w:p>
    <w:p>
      <w:pPr>
        <w:spacing w:after="200" w:line="276"/>
        <w:jc w:val="both"/>
      </w:pPr>
      <w:r>
        <w:rPr>
          <w:rFonts w:ascii="Times New Roman" w:cs="Times New Roman" w:eastAsia="Times New Roman" w:hAnsi="Times New Roman"/>
          <w:b/>
          <w:bCs/>
          <w:sz w:val="22"/>
          <w:szCs w:val="22"/>
        </w:rPr>
        <w:t xml:space="preserve">Prediction 4: Recovery time scales with node count. </w:t>
      </w:r>
      <w:r>
        <w:rPr>
          <w:rFonts w:ascii="Times New Roman" w:cs="Times New Roman" w:eastAsia="Times New Roman" w:hAnsi="Times New Roman"/>
          <w:sz w:val="22"/>
          <w:szCs w:val="22"/>
        </w:rPr>
        <w:t xml:space="preserve">CONFIRMED — approximately linear: recovery ≈ 3.5N steps.</w:t>
      </w:r>
    </w:p>
    <w:p>
      <w:pPr>
        <w:spacing w:after="200" w:line="276"/>
        <w:jc w:val="both"/>
      </w:pPr>
      <w:r>
        <w:rPr>
          <w:rFonts w:ascii="Times New Roman" w:cs="Times New Roman" w:eastAsia="Times New Roman" w:hAnsi="Times New Roman"/>
          <w:sz w:val="22"/>
          <w:szCs w:val="22"/>
        </w:rPr>
        <w:t xml:space="preserve">Predictions not yet tested include cross-domain applicability (applying the same equation to biological, social, and physical systems) and the exact universality of T* = 5/7 across non-TIG operator algebras.</w:t>
      </w:r>
    </w:p>
    <w:p>
      <w:pPr>
        <w:pStyle w:val="Heading1"/>
        <w:spacing w:before="360" w:after="200"/>
      </w:pPr>
      <w:r>
        <w:rPr>
          <w:rFonts w:ascii="Times New Roman" w:cs="Times New Roman" w:eastAsia="Times New Roman" w:hAnsi="Times New Roman"/>
          <w:b/>
          <w:bCs/>
          <w:sz w:val="28"/>
          <w:szCs w:val="28"/>
        </w:rPr>
        <w:t xml:space="preserve">References</w:t>
      </w:r>
    </w:p>
    <w:p>
      <w:pPr>
        <w:spacing w:after="200" w:line="276"/>
        <w:jc w:val="both"/>
      </w:pPr>
      <w:r>
        <w:rPr>
          <w:rFonts w:ascii="Times New Roman" w:cs="Times New Roman" w:eastAsia="Times New Roman" w:hAnsi="Times New Roman"/>
          <w:sz w:val="22"/>
          <w:szCs w:val="22"/>
        </w:rPr>
        <w:t xml:space="preserve">Code repository: github.com/TiredofSleep/TIG-UNIFIED-THEORY-under-scrutiny</w:t>
      </w:r>
    </w:p>
    <w:p>
      <w:pPr>
        <w:spacing w:after="200" w:line="276"/>
        <w:jc w:val="both"/>
      </w:pPr>
      <w:r>
        <w:rPr>
          <w:rFonts w:ascii="Times New Roman" w:cs="Times New Roman" w:eastAsia="Times New Roman" w:hAnsi="Times New Roman"/>
          <w:sz w:val="22"/>
          <w:szCs w:val="22"/>
        </w:rPr>
        <w:t xml:space="preserve">Simulation data: Available upon request from 7Site LLC.</w:t>
      </w:r>
    </w:p>
    <w:p>
      <w:pPr>
        <w:spacing w:before="600"/>
        <w:jc w:val="center"/>
      </w:pPr>
      <w:r>
        <w:rPr>
          <w:rFonts w:ascii="Times New Roman" w:cs="Times New Roman" w:eastAsia="Times New Roman" w:hAnsi="Times New Roman"/>
          <w:i/>
          <w:iCs/>
          <w:color w:val="888888"/>
          <w:sz w:val="20"/>
          <w:szCs w:val="20"/>
        </w:rPr>
        <w:t xml:space="preserve">— End of Paper IV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6"/>
        <w:szCs w:val="16"/>
      </w:rPr>
      <w:t xml:space="preserve">© 2025 7Site LLC  |  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6"/>
        <w:szCs w:val="16"/>
      </w:rPr>
      <w:t xml:space="preserve">TIG White Paper Series — Paper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2026-02-05T12:06:52.444Z</dcterms:created>
  <dcterms:modified xsi:type="dcterms:W3CDTF">2026-02-05T12:06:52.444Z</dcterms:modified>
</cp:coreProperties>
</file>

<file path=docProps/custom.xml><?xml version="1.0" encoding="utf-8"?>
<Properties xmlns="http://schemas.openxmlformats.org/officeDocument/2006/custom-properties" xmlns:vt="http://schemas.openxmlformats.org/officeDocument/2006/docPropsVTypes"/>
</file>