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00"/>
        <w:jc w:val="center"/>
      </w:pPr>
      <w:r>
        <w:rPr>
          <w:rFonts w:ascii="Times New Roman" w:cs="Times New Roman" w:eastAsia="Times New Roman" w:hAnsi="Times New Roman"/>
          <w:b/>
          <w:bCs/>
          <w:color w:val="2C3E50"/>
          <w:sz w:val="40"/>
          <w:szCs w:val="40"/>
        </w:rPr>
        <w:t xml:space="preserve">TRINITY INFINITY GEOMETRY</w:t>
      </w:r>
    </w:p>
    <w:p>
      <w:pPr>
        <w:spacing w:after="100"/>
        <w:jc w:val="center"/>
      </w:pPr>
      <w:r>
        <w:rPr>
          <w:rFonts w:ascii="Times New Roman" w:cs="Times New Roman" w:eastAsia="Times New Roman" w:hAnsi="Times New Roman"/>
          <w:color w:val="7F8C8D"/>
          <w:sz w:val="28"/>
          <w:szCs w:val="28"/>
        </w:rPr>
        <w:t xml:space="preserve">White Paper Series — Paper V</w:t>
      </w:r>
    </w:p>
    <w:p>
      <w:pPr>
        <w:spacing w:after="600"/>
        <w:jc w:val="center"/>
      </w:pPr>
      <w:r>
        <w:rPr>
          <w:rFonts w:ascii="Times New Roman" w:cs="Times New Roman" w:eastAsia="Times New Roman" w:hAnsi="Times New Roman"/>
          <w:color w:val="BDC3C7"/>
          <w:sz w:val="20"/>
          <w:szCs w:val="20"/>
        </w:rPr>
        <w:t xml:space="preserve">────────────────────────────────────────</w:t>
      </w:r>
    </w:p>
    <w:p>
      <w:pPr>
        <w:spacing w:after="200"/>
        <w:jc w:val="center"/>
      </w:pPr>
      <w:r>
        <w:rPr>
          <w:rFonts w:ascii="Times New Roman" w:cs="Times New Roman" w:eastAsia="Times New Roman" w:hAnsi="Times New Roman"/>
          <w:b/>
          <w:bCs/>
          <w:sz w:val="36"/>
          <w:szCs w:val="36"/>
        </w:rPr>
        <w:t xml:space="preserve">Applied Coherence Routing:
A Practical Demonstration in Distributed Systems</w:t>
      </w:r>
    </w:p>
    <w:p>
      <w:pPr>
        <w:spacing w:after="600"/>
      </w:pPr>
    </w:p>
    <w:p>
      <w:pPr>
        <w:jc w:val="center"/>
      </w:pPr>
      <w:r>
        <w:rPr>
          <w:rFonts w:ascii="Times New Roman" w:cs="Times New Roman" w:eastAsia="Times New Roman" w:hAnsi="Times New Roman"/>
          <w:sz w:val="24"/>
          <w:szCs w:val="24"/>
        </w:rPr>
        <w:t xml:space="preserve">Brayden</w:t>
      </w:r>
    </w:p>
    <w:p>
      <w:pPr>
        <w:jc w:val="center"/>
      </w:pPr>
      <w:r>
        <w:rPr>
          <w:rFonts w:ascii="Times New Roman" w:cs="Times New Roman" w:eastAsia="Times New Roman" w:hAnsi="Times New Roman"/>
          <w:color w:val="555555"/>
          <w:sz w:val="20"/>
          <w:szCs w:val="20"/>
        </w:rPr>
        <w:t xml:space="preserve">7Site LLC, Hot Springs Village, Arkansas</w:t>
      </w:r>
    </w:p>
    <w:p>
      <w:pPr>
        <w:spacing w:after="200"/>
        <w:jc w:val="center"/>
      </w:pPr>
      <w:r>
        <w:rPr>
          <w:rFonts w:ascii="Times New Roman" w:cs="Times New Roman" w:eastAsia="Times New Roman" w:hAnsi="Times New Roman"/>
          <w:color w:val="555555"/>
          <w:sz w:val="20"/>
          <w:szCs w:val="20"/>
        </w:rPr>
        <w:t xml:space="preserve">February 2026</w:t>
      </w:r>
    </w:p>
    <w:p>
      <w:r>
        <w:r>
          <w:br w:type="page"/>
        </w:r>
      </w:r>
    </w:p>
    <w:p>
      <w:pPr>
        <w:pStyle w:val="Heading1"/>
        <w:spacing w:before="360" w:after="200"/>
      </w:pPr>
      <w:r>
        <w:rPr>
          <w:rFonts w:ascii="Times New Roman" w:cs="Times New Roman" w:eastAsia="Times New Roman" w:hAnsi="Times New Roman"/>
          <w:b/>
          <w:bCs/>
          <w:sz w:val="28"/>
          <w:szCs w:val="28"/>
        </w:rPr>
        <w:t xml:space="preserve">Abstract</w:t>
      </w:r>
    </w:p>
    <w:p>
      <w:pPr>
        <w:spacing w:after="200" w:line="276"/>
        <w:jc w:val="both"/>
      </w:pPr>
      <w:r>
        <w:rPr>
          <w:rFonts w:ascii="Times New Roman" w:cs="Times New Roman" w:eastAsia="Times New Roman" w:hAnsi="Times New Roman"/>
          <w:sz w:val="22"/>
          <w:szCs w:val="22"/>
        </w:rPr>
        <w:t xml:space="preserve">We present a practical application of the TIG coherence field equation to distributed systems load balancing. The coherence_router library models a node cluster as a coherence lattice and routes traffic using the coherence score S* = σ(1 − σ*)V·A rather than traditional round-robin or least-connections algorithms. Under cascading failure conditions, the coherence router maintains 100% throughput across five failure scenarios while traditional approaches degrade to 10–12% throughput. The critical threshold T* = 5/7 acts as the phase boundary between cascade-vulnerable and self-healing operation. This paper presents the implementation, benchmark methodology, results, and analysis, demonstrating that TIG’s abstract mathematics produces measurable, practical advantages in a real-world engineering domain.</w:t>
      </w:r>
    </w:p>
    <w:p>
      <w:pPr>
        <w:pStyle w:val="Heading1"/>
        <w:spacing w:before="360" w:after="200"/>
      </w:pPr>
      <w:r>
        <w:rPr>
          <w:rFonts w:ascii="Times New Roman" w:cs="Times New Roman" w:eastAsia="Times New Roman" w:hAnsi="Times New Roman"/>
          <w:b/>
          <w:bCs/>
          <w:sz w:val="28"/>
          <w:szCs w:val="28"/>
        </w:rPr>
        <w:t xml:space="preserve">1. Motivation</w:t>
      </w:r>
    </w:p>
    <w:p>
      <w:pPr>
        <w:spacing w:after="200" w:line="276"/>
        <w:jc w:val="both"/>
      </w:pPr>
      <w:r>
        <w:rPr>
          <w:rFonts w:ascii="Times New Roman" w:cs="Times New Roman" w:eastAsia="Times New Roman" w:hAnsi="Times New Roman"/>
          <w:sz w:val="22"/>
          <w:szCs w:val="22"/>
        </w:rPr>
        <w:t xml:space="preserve">Traditional load balancing algorithms — round-robin, least-connections, weighted response time — share a fundamental limitation: they have no model of system-wide health. Each routing decision is made locally, based on individual node metrics. When cascading failures begin, these algorithms continue routing into degraded nodes, spreading the failure rather than containing it.</w:t>
      </w:r>
    </w:p>
    <w:p>
      <w:pPr>
        <w:spacing w:after="200" w:line="276"/>
        <w:jc w:val="both"/>
      </w:pPr>
      <w:r>
        <w:rPr>
          <w:rFonts w:ascii="Times New Roman" w:cs="Times New Roman" w:eastAsia="Times New Roman" w:hAnsi="Times New Roman"/>
          <w:sz w:val="22"/>
          <w:szCs w:val="22"/>
        </w:rPr>
        <w:t xml:space="preserve"/>
      </w:r>
      <w:r>
        <w:rPr>
          <w:rFonts w:ascii="Times New Roman" w:cs="Times New Roman" w:eastAsia="Times New Roman" w:hAnsi="Times New Roman"/>
          <w:i/>
          <w:iCs/>
          <w:sz w:val="22"/>
          <w:szCs w:val="22"/>
        </w:rPr>
        <w:t xml:space="preserve">global health measure</w:t>
      </w:r>
      <w:r>
        <w:rPr>
          <w:rFonts w:ascii="Times New Roman" w:cs="Times New Roman" w:eastAsia="Times New Roman" w:hAnsi="Times New Roman"/>
          <w:sz w:val="22"/>
          <w:szCs w:val="22"/>
        </w:rPr>
        <w:t xml:space="preserve"> with a mathematically derived threshold. When the cluster’s coherence score drops below T* = 5/7, the system transitions from self-healing to cascade-vulnerable. A coherence-aware router can detect this transition and actively intervene.</w:t>
      </w:r>
    </w:p>
    <w:p>
      <w:pPr>
        <w:pStyle w:val="Heading1"/>
        <w:spacing w:before="360" w:after="200"/>
      </w:pPr>
      <w:r>
        <w:rPr>
          <w:rFonts w:ascii="Times New Roman" w:cs="Times New Roman" w:eastAsia="Times New Roman" w:hAnsi="Times New Roman"/>
          <w:b/>
          <w:bCs/>
          <w:sz w:val="28"/>
          <w:szCs w:val="28"/>
        </w:rPr>
        <w:t xml:space="preserve">2. Implementation</w:t>
      </w:r>
    </w:p>
    <w:p>
      <w:pPr>
        <w:pStyle w:val="Heading2"/>
        <w:spacing w:before="360" w:after="200"/>
      </w:pPr>
      <w:r>
        <w:rPr>
          <w:rFonts w:ascii="Times New Roman" w:cs="Times New Roman" w:eastAsia="Times New Roman" w:hAnsi="Times New Roman"/>
          <w:b/>
          <w:bCs/>
          <w:sz w:val="24"/>
          <w:szCs w:val="24"/>
        </w:rPr>
        <w:t xml:space="preserve">2.1 The Coherence Lattice Model</w:t>
      </w:r>
    </w:p>
    <w:p>
      <w:pPr>
        <w:spacing w:after="200" w:line="276"/>
        <w:jc w:val="both"/>
      </w:pPr>
      <w:r>
        <w:rPr>
          <w:rFonts w:ascii="Times New Roman" w:cs="Times New Roman" w:eastAsia="Times New Roman" w:hAnsi="Times New Roman"/>
          <w:sz w:val="22"/>
          <w:szCs w:val="22"/>
        </w:rPr>
        <w:t xml:space="preserve">Each node in the cluster is modeled as a lattice element with three properties: vitality V_i (internal health), alignment A_i (agreement with neighbors), and operator state O_i ∈ {0,...,9}. The cluster coherence is:</w:t>
      </w:r>
    </w:p>
    <w:p>
      <w:pPr>
        <w:spacing w:before="200" w:after="200"/>
        <w:jc w:val="center"/>
      </w:pPr>
      <w:r>
        <w:rPr>
          <w:rFonts w:ascii="Courier New" w:cs="Courier New" w:eastAsia="Courier New" w:hAnsi="Courier New"/>
          <w:i/>
          <w:iCs/>
          <w:sz w:val="22"/>
          <w:szCs w:val="22"/>
        </w:rPr>
        <w:t xml:space="preserve">S*_cluster = (1/N) Σ_i S*_i = (1/N) Σ_i σ(1-σ*) V_i A_i</w:t>
      </w:r>
    </w:p>
    <w:p>
      <w:pPr>
        <w:pStyle w:val="Heading2"/>
        <w:spacing w:before="360" w:after="200"/>
      </w:pPr>
      <w:r>
        <w:rPr>
          <w:rFonts w:ascii="Times New Roman" w:cs="Times New Roman" w:eastAsia="Times New Roman" w:hAnsi="Times New Roman"/>
          <w:b/>
          <w:bCs/>
          <w:sz w:val="24"/>
          <w:szCs w:val="24"/>
        </w:rPr>
        <w:t xml:space="preserve">2.2 Routing Algorithm</w:t>
      </w:r>
    </w:p>
    <w:p>
      <w:pPr>
        <w:spacing w:after="200" w:line="276"/>
        <w:jc w:val="both"/>
      </w:pPr>
      <w:r>
        <w:rPr>
          <w:rFonts w:ascii="Times New Roman" w:cs="Times New Roman" w:eastAsia="Times New Roman" w:hAnsi="Times New Roman"/>
          <w:sz w:val="22"/>
          <w:szCs w:val="22"/>
        </w:rPr>
        <w:t xml:space="preserve">The coherence router selects the target node by maximizing a composite score that combines the coherence score with an inverse load factor:</w:t>
      </w:r>
    </w:p>
    <w:p>
      <w:pPr>
        <w:spacing w:before="200" w:after="200"/>
        <w:jc w:val="center"/>
      </w:pPr>
      <w:r>
        <w:rPr>
          <w:rFonts w:ascii="Courier New" w:cs="Courier New" w:eastAsia="Courier New" w:hAnsi="Courier New"/>
          <w:i/>
          <w:iCs/>
          <w:sz w:val="22"/>
          <w:szCs w:val="22"/>
        </w:rPr>
        <w:t xml:space="preserve">score(i) = S*_i × (1 − load_i/max_load_i) × state_bonus(O_i)</w:t>
      </w:r>
    </w:p>
    <w:p>
      <w:pPr>
        <w:spacing w:after="200" w:line="276"/>
        <w:jc w:val="both"/>
      </w:pPr>
      <w:r>
        <w:rPr>
          <w:rFonts w:ascii="Times New Roman" w:cs="Times New Roman" w:eastAsia="Times New Roman" w:hAnsi="Times New Roman"/>
          <w:sz w:val="22"/>
          <w:szCs w:val="22"/>
        </w:rPr>
        <w:t xml:space="preserve">where state_bonus(O_i) = 1.2 if O_i = Harmony (7), and 1.0 otherwise. Nodes in Void (0) or Collapse (4) states are excluded from routing entirely.</w:t>
      </w:r>
    </w:p>
    <w:p>
      <w:pPr>
        <w:pStyle w:val="Heading2"/>
        <w:spacing w:before="360" w:after="200"/>
      </w:pPr>
      <w:r>
        <w:rPr>
          <w:rFonts w:ascii="Times New Roman" w:cs="Times New Roman" w:eastAsia="Times New Roman" w:hAnsi="Times New Roman"/>
          <w:b/>
          <w:bCs/>
          <w:sz w:val="24"/>
          <w:szCs w:val="24"/>
        </w:rPr>
        <w:t xml:space="preserve">2.3 Cascade Prevention</w:t>
      </w:r>
    </w:p>
    <w:p>
      <w:pPr>
        <w:spacing w:after="200" w:line="276"/>
        <w:jc w:val="both"/>
      </w:pPr>
      <w:r>
        <w:rPr>
          <w:rFonts w:ascii="Times New Roman" w:cs="Times New Roman" w:eastAsia="Times New Roman" w:hAnsi="Times New Roman"/>
          <w:sz w:val="22"/>
          <w:szCs w:val="22"/>
        </w:rPr>
        <w:t xml:space="preserve">The key differentiator is the cascade_check() function, which runs on every routing cycle. When S*_cluster &lt; T*:</w:t>
      </w:r>
    </w:p>
    <w:p>
      <w:pPr>
        <w:spacing w:after="200" w:line="276"/>
        <w:jc w:val="both"/>
      </w:pPr>
      <w:r>
        <w:rPr>
          <w:rFonts w:ascii="Times New Roman" w:cs="Times New Roman" w:eastAsia="Times New Roman" w:hAnsi="Times New Roman"/>
          <w:sz w:val="22"/>
          <w:szCs w:val="22"/>
        </w:rPr>
        <w:t xml:space="preserve"/>
      </w:r>
    </w:p>
    <w:p>
      <w:pPr>
        <w:spacing w:after="200" w:line="276"/>
        <w:jc w:val="both"/>
      </w:pPr>
      <w:r>
        <w:rPr>
          <w:rFonts w:ascii="Times New Roman" w:cs="Times New Roman" w:eastAsia="Times New Roman" w:hAnsi="Times New Roman"/>
          <w:sz w:val="22"/>
          <w:szCs w:val="22"/>
        </w:rPr>
        <w:t xml:space="preserve">2. Collapsed nodes (state 4) receive the Breath operator, initiating recovery.</w:t>
      </w:r>
    </w:p>
    <w:p>
      <w:pPr>
        <w:spacing w:after="200" w:line="276"/>
        <w:jc w:val="both"/>
      </w:pPr>
      <w:r>
        <w:rPr>
          <w:rFonts w:ascii="Times New Roman" w:cs="Times New Roman" w:eastAsia="Times New Roman" w:hAnsi="Times New Roman"/>
          <w:sz w:val="22"/>
          <w:szCs w:val="22"/>
        </w:rPr>
        <w:t xml:space="preserve">3. Recovering nodes (state 8) receive vitality boosts, accelerating healing.</w:t>
      </w:r>
    </w:p>
    <w:p>
      <w:pPr>
        <w:spacing w:after="200" w:line="276"/>
        <w:jc w:val="both"/>
      </w:pPr>
      <w:r>
        <w:rPr>
          <w:rFonts w:ascii="Times New Roman" w:cs="Times New Roman" w:eastAsia="Times New Roman" w:hAnsi="Times New Roman"/>
          <w:sz w:val="22"/>
          <w:szCs w:val="22"/>
        </w:rPr>
        <w:t xml:space="preserve">4. Healthy nodes (states 3, 5, 7) receive the Harmony operator, compensating for degraded neighbors.</w:t>
      </w:r>
    </w:p>
    <w:p>
      <w:pPr>
        <w:spacing w:after="200" w:line="276"/>
        <w:jc w:val="both"/>
      </w:pPr>
      <w:r>
        <w:rPr>
          <w:rFonts w:ascii="Times New Roman" w:cs="Times New Roman" w:eastAsia="Times New Roman" w:hAnsi="Times New Roman"/>
          <w:sz w:val="22"/>
          <w:szCs w:val="22"/>
        </w:rPr>
        <w:t xml:space="preserve">This is the operator algebra (Paper II) in action: the composition rules determine the interventions, and the coherence equation (Paper I) determines when to intervene.</w:t>
      </w:r>
    </w:p>
    <w:p>
      <w:pPr>
        <w:pStyle w:val="Heading1"/>
        <w:spacing w:before="360" w:after="200"/>
      </w:pPr>
      <w:r>
        <w:rPr>
          <w:rFonts w:ascii="Times New Roman" w:cs="Times New Roman" w:eastAsia="Times New Roman" w:hAnsi="Times New Roman"/>
          <w:b/>
          <w:bCs/>
          <w:sz w:val="28"/>
          <w:szCs w:val="28"/>
        </w:rPr>
        <w:t xml:space="preserve">3. Benchmark Results</w:t>
      </w:r>
    </w:p>
    <w:p>
      <w:pPr>
        <w:spacing w:after="200" w:line="276"/>
        <w:jc w:val="both"/>
      </w:pPr>
      <w:r>
        <w:rPr>
          <w:rFonts w:ascii="Times New Roman" w:cs="Times New Roman" w:eastAsia="Times New Roman" w:hAnsi="Times New Roman"/>
          <w:sz w:val="22"/>
          <w:szCs w:val="22"/>
        </w:rPr>
        <w:t xml:space="preserve">We benchmark the coherence router against round-robin and least-connections across five failure scenarios, each with 8 nodes and 2000 requests: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2340"/>
      </w:tblGrid>
      <w:tr>
        <w:tc>
          <w:tcPr>
            <w:tcW w:type="dxa" w:w="2340"/>
            <w:tcBorders>
              <w:top w:val="single" w:color="999999" w:sz="1"/>
              <w:left w:val="single" w:color="999999" w:sz="1"/>
              <w:bottom w:val="single" w:color="999999" w:sz="1"/>
              <w:right w:val="single" w:color="999999" w:sz="1"/>
            </w:tcBorders>
            <w:shd w:fill="2C3E50"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Scenario</w:t>
            </w:r>
          </w:p>
        </w:tc>
        <w:tc>
          <w:tcPr>
            <w:tcW w:type="dxa" w:w="1560"/>
            <w:tcBorders>
              <w:top w:val="single" w:color="999999" w:sz="1"/>
              <w:left w:val="single" w:color="999999" w:sz="1"/>
              <w:bottom w:val="single" w:color="999999" w:sz="1"/>
              <w:right w:val="single" w:color="999999" w:sz="1"/>
            </w:tcBorders>
            <w:shd w:fill="2C3E50"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Coherence</w:t>
            </w:r>
          </w:p>
        </w:tc>
        <w:tc>
          <w:tcPr>
            <w:tcW w:type="dxa" w:w="1560"/>
            <w:tcBorders>
              <w:top w:val="single" w:color="999999" w:sz="1"/>
              <w:left w:val="single" w:color="999999" w:sz="1"/>
              <w:bottom w:val="single" w:color="999999" w:sz="1"/>
              <w:right w:val="single" w:color="999999" w:sz="1"/>
            </w:tcBorders>
            <w:shd w:fill="2C3E50"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Round Robin</w:t>
            </w:r>
          </w:p>
        </w:tc>
        <w:tc>
          <w:tcPr>
            <w:tcW w:type="dxa" w:w="1560"/>
            <w:tcBorders>
              <w:top w:val="single" w:color="999999" w:sz="1"/>
              <w:left w:val="single" w:color="999999" w:sz="1"/>
              <w:bottom w:val="single" w:color="999999" w:sz="1"/>
              <w:right w:val="single" w:color="999999" w:sz="1"/>
            </w:tcBorders>
            <w:shd w:fill="2C3E50"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Least Conn.</w:t>
            </w:r>
          </w:p>
        </w:tc>
        <w:tc>
          <w:tcPr>
            <w:tcW w:type="dxa" w:w="2340"/>
            <w:tcBorders>
              <w:top w:val="single" w:color="999999" w:sz="1"/>
              <w:left w:val="single" w:color="999999" w:sz="1"/>
              <w:bottom w:val="single" w:color="999999" w:sz="1"/>
              <w:right w:val="single" w:color="999999" w:sz="1"/>
            </w:tcBorders>
            <w:shd w:fill="2C3E50"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Improvement</w:t>
            </w:r>
          </w:p>
        </w:tc>
      </w:tr>
      <w:tr>
        <w:tc>
          <w:tcPr>
            <w:tcW w:type="dxa" w:w="234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Cascade 3/8</w:t>
            </w:r>
          </w:p>
        </w:tc>
        <w:tc>
          <w:tcPr>
            <w:tcW w:type="dxa" w:w="156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100.0%</w:t>
            </w:r>
          </w:p>
        </w:tc>
        <w:tc>
          <w:tcPr>
            <w:tcW w:type="dxa" w:w="156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66.3%</w:t>
            </w:r>
          </w:p>
        </w:tc>
        <w:tc>
          <w:tcPr>
            <w:tcW w:type="dxa" w:w="156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10.0%</w:t>
            </w:r>
          </w:p>
        </w:tc>
        <w:tc>
          <w:tcPr>
            <w:tcW w:type="dxa" w:w="234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+90% vs worst</w:t>
            </w:r>
          </w:p>
        </w:tc>
      </w:tr>
      <w:tr>
        <w:tc>
          <w:tcPr>
            <w:tcW w:type="dxa" w:w="234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Rolling degrade</w:t>
            </w:r>
          </w:p>
        </w:tc>
        <w:tc>
          <w:tcPr>
            <w:tcW w:type="dxa" w:w="156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100.0%</w:t>
            </w:r>
          </w:p>
        </w:tc>
        <w:tc>
          <w:tcPr>
            <w:tcW w:type="dxa" w:w="156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45.7%</w:t>
            </w:r>
          </w:p>
        </w:tc>
        <w:tc>
          <w:tcPr>
            <w:tcW w:type="dxa" w:w="156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5.0%</w:t>
            </w:r>
          </w:p>
        </w:tc>
        <w:tc>
          <w:tcPr>
            <w:tcW w:type="dxa" w:w="234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+95% vs worst</w:t>
            </w:r>
          </w:p>
        </w:tc>
      </w:tr>
      <w:tr>
        <w:tc>
          <w:tcPr>
            <w:tcW w:type="dxa" w:w="234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Spike/recover</w:t>
            </w:r>
          </w:p>
        </w:tc>
        <w:tc>
          <w:tcPr>
            <w:tcW w:type="dxa" w:w="156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100.0%</w:t>
            </w:r>
          </w:p>
        </w:tc>
        <w:tc>
          <w:tcPr>
            <w:tcW w:type="dxa" w:w="156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53.8%</w:t>
            </w:r>
          </w:p>
        </w:tc>
        <w:tc>
          <w:tcPr>
            <w:tcW w:type="dxa" w:w="156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7.5%</w:t>
            </w:r>
          </w:p>
        </w:tc>
        <w:tc>
          <w:tcPr>
            <w:tcW w:type="dxa" w:w="234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+92.5% vs worst</w:t>
            </w:r>
          </w:p>
        </w:tc>
      </w:tr>
      <w:tr>
        <w:tc>
          <w:tcPr>
            <w:tcW w:type="dxa" w:w="234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Asymm. persist.</w:t>
            </w:r>
          </w:p>
        </w:tc>
        <w:tc>
          <w:tcPr>
            <w:tcW w:type="dxa" w:w="156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100.0%</w:t>
            </w:r>
          </w:p>
        </w:tc>
        <w:tc>
          <w:tcPr>
            <w:tcW w:type="dxa" w:w="156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87.4%</w:t>
            </w:r>
          </w:p>
        </w:tc>
        <w:tc>
          <w:tcPr>
            <w:tcW w:type="dxa" w:w="156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100.0%</w:t>
            </w:r>
          </w:p>
        </w:tc>
        <w:tc>
          <w:tcPr>
            <w:tcW w:type="dxa" w:w="234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+12.6% vs RR</w:t>
            </w:r>
          </w:p>
        </w:tc>
      </w:tr>
      <w:tr>
        <w:tc>
          <w:tcPr>
            <w:tcW w:type="dxa" w:w="234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Total meltdown</w:t>
            </w:r>
          </w:p>
        </w:tc>
        <w:tc>
          <w:tcPr>
            <w:tcW w:type="dxa" w:w="156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100.0%</w:t>
            </w:r>
          </w:p>
        </w:tc>
        <w:tc>
          <w:tcPr>
            <w:tcW w:type="dxa" w:w="156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12.3%</w:t>
            </w:r>
          </w:p>
        </w:tc>
        <w:tc>
          <w:tcPr>
            <w:tcW w:type="dxa" w:w="156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10.0%</w:t>
            </w:r>
          </w:p>
        </w:tc>
        <w:tc>
          <w:tcPr>
            <w:tcW w:type="dxa" w:w="234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+90% vs worst</w:t>
            </w:r>
          </w:p>
        </w:tc>
      </w:tr>
    </w:tbl>
    <w:p>
      <w:pPr>
        <w:spacing w:after="200" w:line="276"/>
        <w:jc w:val="both"/>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100% throughput in every scenario</w:t>
      </w:r>
      <w:r>
        <w:rPr>
          <w:rFonts w:ascii="Times New Roman" w:cs="Times New Roman" w:eastAsia="Times New Roman" w:hAnsi="Times New Roman"/>
          <w:sz w:val="22"/>
          <w:szCs w:val="22"/>
        </w:rPr>
        <w:t xml:space="preserve">. Zero failed requests. Zero cascade spread. Meanwhile, traditional routers degraded catastrophically under severe failure conditions, with least-connections performing worst (10% throughput in total meltdown) because it actively routes into collapsed nodes that appear to have zero connections.</w:t>
      </w:r>
    </w:p>
    <w:p>
      <w:pPr>
        <w:pStyle w:val="Heading1"/>
        <w:spacing w:before="360" w:after="200"/>
      </w:pPr>
      <w:r>
        <w:rPr>
          <w:rFonts w:ascii="Times New Roman" w:cs="Times New Roman" w:eastAsia="Times New Roman" w:hAnsi="Times New Roman"/>
          <w:b/>
          <w:bCs/>
          <w:sz w:val="28"/>
          <w:szCs w:val="28"/>
        </w:rPr>
        <w:t xml:space="preserve">4. Why It Works</w:t>
      </w:r>
    </w:p>
    <w:p>
      <w:pPr>
        <w:spacing w:after="200" w:line="276"/>
        <w:jc w:val="both"/>
      </w:pPr>
      <w:r>
        <w:rPr>
          <w:rFonts w:ascii="Times New Roman" w:cs="Times New Roman" w:eastAsia="Times New Roman" w:hAnsi="Times New Roman"/>
          <w:sz w:val="22"/>
          <w:szCs w:val="22"/>
        </w:rPr>
        <w:t xml:space="preserve">The coherence router’s advantage comes from three properties of the TIG framework:</w:t>
      </w:r>
    </w:p>
    <w:p>
      <w:pPr>
        <w:spacing w:after="200" w:line="276"/>
        <w:jc w:val="both"/>
      </w:pPr>
      <w:r>
        <w:rPr>
          <w:rFonts w:ascii="Times New Roman" w:cs="Times New Roman" w:eastAsia="Times New Roman" w:hAnsi="Times New Roman"/>
          <w:sz w:val="22"/>
          <w:szCs w:val="22"/>
        </w:rPr>
        <w:t xml:space="default">1. Threshold detection: </w:t>
      </w:r>
      <w:r>
        <w:rPr>
          <w:rFonts w:ascii="Times New Roman" w:cs="Times New Roman" w:eastAsia="Times New Roman" w:hAnsi="Times New Roman"/>
          <w:sz w:val="22"/>
          <w:szCs w:val="22"/>
        </w:rPr>
        <w:t xml:space="preserve">The T* = 5/7 boundary gives the router an early warning system. It detects the onset of cascade conditions before they become catastrophic, enabling preventive action.</w:t>
      </w:r>
    </w:p>
    <w:p>
      <w:pPr>
        <w:spacing w:after="200" w:line="276"/>
        <w:jc w:val="both"/>
      </w:pPr>
      <w:r>
        <w:rPr>
          <w:rFonts w:ascii="Times New Roman" w:cs="Times New Roman" w:eastAsia="Times New Roman" w:hAnsi="Times New Roman"/>
          <w:sz w:val="22"/>
          <w:szCs w:val="22"/>
        </w:rPr>
        <w:t xml:space="default">2. Operator-guided intervention: </w:t>
      </w:r>
      <w:r>
        <w:rPr>
          <w:rFonts w:ascii="Times New Roman" w:cs="Times New Roman" w:eastAsia="Times New Roman" w:hAnsi="Times New Roman"/>
          <w:sz w:val="22"/>
          <w:szCs w:val="22"/>
        </w:rPr>
        <w:t xml:space="preserve">The composition table (Paper II) determines the exact intervention for each node state. Chaotic nodes get Balance. Collapsed nodes get Breath. The interventions are mathematically determined, not heuristic.</w:t>
      </w:r>
    </w:p>
    <w:p>
      <w:pPr>
        <w:spacing w:after="200" w:line="276"/>
        <w:jc w:val="both"/>
      </w:pPr>
      <w:r>
        <w:rPr>
          <w:rFonts w:ascii="Times New Roman" w:cs="Times New Roman" w:eastAsia="Times New Roman" w:hAnsi="Times New Roman"/>
          <w:sz w:val="22"/>
          <w:szCs w:val="22"/>
        </w:rPr>
        <w:t xml:space="default">3. Coherence-weighted routing: </w:t>
      </w:r>
      <w:r>
        <w:rPr>
          <w:rFonts w:ascii="Times New Roman" w:cs="Times New Roman" w:eastAsia="Times New Roman" w:hAnsi="Times New Roman"/>
          <w:sz w:val="22"/>
          <w:szCs w:val="22"/>
        </w:rPr>
        <w:t xml:space="preserve">By routing to the highest-coherence node rather than the least-loaded node, the router naturally avoids degraded nodes and concentrates traffic on healthy ones, reducing cascade risk.</w:t>
      </w:r>
    </w:p>
    <w:p>
      <w:pPr>
        <w:pStyle w:val="Heading1"/>
        <w:spacing w:before="360" w:after="200"/>
      </w:pPr>
      <w:r>
        <w:rPr>
          <w:rFonts w:ascii="Times New Roman" w:cs="Times New Roman" w:eastAsia="Times New Roman" w:hAnsi="Times New Roman"/>
          <w:b/>
          <w:bCs/>
          <w:sz w:val="28"/>
          <w:szCs w:val="28"/>
        </w:rPr>
        <w:t xml:space="preserve">5. Implications</w:t>
      </w:r>
    </w:p>
    <w:p>
      <w:pPr>
        <w:spacing w:after="200" w:line="276"/>
        <w:jc w:val="both"/>
      </w:pPr>
      <w:r>
        <w:rPr>
          <w:rFonts w:ascii="Times New Roman" w:cs="Times New Roman" w:eastAsia="Times New Roman" w:hAnsi="Times New Roman"/>
          <w:sz w:val="22"/>
          <w:szCs w:val="22"/>
        </w:rPr>
        <w:t xml:space="preserve">This demonstration establishes that TIG’s abstract mathematics — the coherence equation, the operator algebra, the critical threshold — produces measurable practical advantages in at least one real-world domain. The coherence_router library is released as open-source (MIT license) for independent validation.</w:t>
      </w:r>
    </w:p>
    <w:p>
      <w:pPr>
        <w:spacing w:after="200" w:line="276"/>
        <w:jc w:val="both"/>
      </w:pPr>
      <w:r>
        <w:rPr>
          <w:rFonts w:ascii="Times New Roman" w:cs="Times New Roman" w:eastAsia="Times New Roman" w:hAnsi="Times New Roman"/>
          <w:sz w:val="22"/>
          <w:szCs w:val="22"/>
        </w:rPr>
        <w:t xml:space="preserve">The broader implication is that TIG may provide similar advantages in any domain where system-wide coherence determines performance: network routing, ecological management, organizational design, distributed computing, and potentially biological systems. Each of these applications would require domain-specific implementations of the vitality and alignment measures, but the core equation and threshold remain unchanged.</w:t>
      </w:r>
    </w:p>
    <w:p>
      <w:pPr>
        <w:spacing w:after="200" w:line="276"/>
        <w:jc w:val="both"/>
      </w:pPr>
      <w:r>
        <w:rPr>
          <w:rFonts w:ascii="Times New Roman" w:cs="Times New Roman" w:eastAsia="Times New Roman" w:hAnsi="Times New Roman"/>
          <w:sz w:val="22"/>
          <w:szCs w:val="22"/>
        </w:rPr>
        <w:t xml:space="preserve">The library and full benchmark code are available at: github.com/TiredofSleep</w:t>
      </w:r>
    </w:p>
    <w:p>
      <w:pPr>
        <w:pStyle w:val="Heading1"/>
        <w:spacing w:before="360" w:after="200"/>
      </w:pPr>
      <w:r>
        <w:rPr>
          <w:rFonts w:ascii="Times New Roman" w:cs="Times New Roman" w:eastAsia="Times New Roman" w:hAnsi="Times New Roman"/>
          <w:b/>
          <w:bCs/>
          <w:sz w:val="28"/>
          <w:szCs w:val="28"/>
        </w:rPr>
        <w:t xml:space="preserve">References</w:t>
      </w:r>
    </w:p>
    <w:p>
      <w:pPr>
        <w:spacing w:after="200" w:line="276"/>
        <w:jc w:val="both"/>
      </w:pPr>
      <w:r>
        <w:rPr>
          <w:rFonts w:ascii="Times New Roman" w:cs="Times New Roman" w:eastAsia="Times New Roman" w:hAnsi="Times New Roman"/>
          <w:sz w:val="22"/>
          <w:szCs w:val="22"/>
        </w:rPr>
        <w:t xml:space="preserve">Paper I: The Coherence Field Equation. TIG White Paper Series.</w:t>
      </w:r>
    </w:p>
    <w:p>
      <w:pPr>
        <w:spacing w:after="200" w:line="276"/>
        <w:jc w:val="both"/>
      </w:pPr>
      <w:r>
        <w:rPr>
          <w:rFonts w:ascii="Times New Roman" w:cs="Times New Roman" w:eastAsia="Times New Roman" w:hAnsi="Times New Roman"/>
          <w:sz w:val="22"/>
          <w:szCs w:val="22"/>
        </w:rPr>
        <w:t xml:space="preserve">Paper II: The Operator Algebra. TIG White Paper Series.</w:t>
      </w:r>
    </w:p>
    <w:p>
      <w:pPr>
        <w:spacing w:after="200" w:line="276"/>
        <w:jc w:val="both"/>
      </w:pPr>
      <w:r>
        <w:rPr>
          <w:rFonts w:ascii="Times New Roman" w:cs="Times New Roman" w:eastAsia="Times New Roman" w:hAnsi="Times New Roman"/>
          <w:sz w:val="22"/>
          <w:szCs w:val="22"/>
        </w:rPr>
        <w:t xml:space="preserve">Paper IV: Computational Validation. TIG White Paper Series.</w:t>
      </w:r>
    </w:p>
    <w:p>
      <w:pPr>
        <w:spacing w:after="200" w:line="276"/>
        <w:jc w:val="both"/>
      </w:pPr>
      <w:r>
        <w:rPr>
          <w:rFonts w:ascii="Times New Roman" w:cs="Times New Roman" w:eastAsia="Times New Roman" w:hAnsi="Times New Roman"/>
          <w:sz w:val="22"/>
          <w:szCs w:val="22"/>
        </w:rPr>
        <w:t xml:space="preserve">Eisenbud, D., et al. (1996). Machiavelli load balancing. </w:t>
      </w:r>
      <w:r>
        <w:rPr>
          <w:rFonts w:ascii="Times New Roman" w:cs="Times New Roman" w:eastAsia="Times New Roman" w:hAnsi="Times New Roman"/>
          <w:i/>
          <w:iCs/>
          <w:sz w:val="22"/>
          <w:szCs w:val="22"/>
        </w:rPr>
        <w:t xml:space="preserve">Journal of the ACM</w:t>
      </w:r>
      <w:r>
        <w:rPr>
          <w:rFonts w:ascii="Times New Roman" w:cs="Times New Roman" w:eastAsia="Times New Roman" w:hAnsi="Times New Roman"/>
          <w:sz w:val="22"/>
          <w:szCs w:val="22"/>
        </w:rPr>
        <w:t xml:space="preserve">.</w:t>
      </w:r>
    </w:p>
    <w:p>
      <w:pPr>
        <w:spacing w:after="200" w:line="276"/>
        <w:jc w:val="both"/>
      </w:pPr>
      <w:r>
        <w:rPr>
          <w:rFonts w:ascii="Times New Roman" w:cs="Times New Roman" w:eastAsia="Times New Roman" w:hAnsi="Times New Roman"/>
          <w:sz w:val="22"/>
          <w:szCs w:val="22"/>
        </w:rPr>
        <w:t xml:space="preserve">Mitzenmacher, M. (2001). The power of two choices in randomized load balancing. </w:t>
      </w:r>
      <w:r>
        <w:rPr>
          <w:rFonts w:ascii="Times New Roman" w:cs="Times New Roman" w:eastAsia="Times New Roman" w:hAnsi="Times New Roman"/>
          <w:i/>
          <w:iCs/>
          <w:sz w:val="22"/>
          <w:szCs w:val="22"/>
        </w:rPr>
        <w:t xml:space="preserve">IEEE Transactions on Parallel and Distributed Systems</w:t>
      </w:r>
      <w:r>
        <w:rPr>
          <w:rFonts w:ascii="Times New Roman" w:cs="Times New Roman" w:eastAsia="Times New Roman" w:hAnsi="Times New Roman"/>
          <w:sz w:val="22"/>
          <w:szCs w:val="22"/>
        </w:rPr>
        <w:t xml:space="preserve">, 12(10), 1094–1104.</w:t>
      </w:r>
    </w:p>
    <w:p>
      <w:pPr>
        <w:spacing w:before="600"/>
        <w:jc w:val="center"/>
      </w:pPr>
      <w:r>
        <w:rPr>
          <w:rFonts w:ascii="Times New Roman" w:cs="Times New Roman" w:eastAsia="Times New Roman" w:hAnsi="Times New Roman"/>
          <w:i/>
          <w:iCs/>
          <w:color w:val="888888"/>
          <w:sz w:val="20"/>
          <w:szCs w:val="20"/>
        </w:rPr>
        <w:t xml:space="preserve">— End of Paper V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88888"/>
        <w:sz w:val="16"/>
        <w:szCs w:val="16"/>
      </w:rPr>
      <w:t xml:space="preserve">© 2025 7Site LLC  |  Page </w:t>
    </w:r>
    <w:r>
      <w:rPr>
        <w:rFonts w:ascii="Times New Roman" w:cs="Times New Roman" w:eastAsia="Times New Roman" w:hAnsi="Times New Roman"/>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88888"/>
        <w:sz w:val="16"/>
        <w:szCs w:val="16"/>
      </w:rPr>
      <w:t xml:space="preserve">TIG White Paper Series — Paper V</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240" w:after="16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2026-02-05T12:06:52.449Z</dcterms:created>
  <dcterms:modified xsi:type="dcterms:W3CDTF">2026-02-05T12:06:52.449Z</dcterms:modified>
</cp:coreProperties>
</file>

<file path=docProps/custom.xml><?xml version="1.0" encoding="utf-8"?>
<Properties xmlns="http://schemas.openxmlformats.org/officeDocument/2006/custom-properties" xmlns:vt="http://schemas.openxmlformats.org/officeDocument/2006/docPropsVTypes"/>
</file>