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2E75B6"/>
          <w:sz w:val="24"/>
          <w:szCs w:val="24"/>
        </w:rPr>
        <w:t xml:space="preserve">WHITEPAPER 19</w:t>
      </w:r>
    </w:p>
    <w:p>
      <w:pPr>
        <w:spacing w:before="80" w:after="80"/>
        <w:jc w:val="center"/>
      </w:pPr>
      <w:r>
        <w:rPr>
          <w:rFonts w:ascii="Arial" w:cs="Arial" w:eastAsia="Arial" w:hAnsi="Arial"/>
          <w:b/>
          <w:bCs/>
          <w:color w:val="1F4E79"/>
          <w:sz w:val="48"/>
          <w:szCs w:val="48"/>
        </w:rPr>
        <w:t xml:space="preserve">Trinity Infinity Geometry:</w:t>
      </w:r>
    </w:p>
    <w:p>
      <w:pPr>
        <w:spacing w:before="0" w:after="80"/>
        <w:jc w:val="center"/>
      </w:pPr>
      <w:r>
        <w:rPr>
          <w:rFonts w:ascii="Arial" w:cs="Arial" w:eastAsia="Arial" w:hAnsi="Arial"/>
          <w:b/>
          <w:bCs/>
          <w:color w:val="1F4E79"/>
          <w:sz w:val="40"/>
          <w:szCs w:val="40"/>
        </w:rPr>
        <w:t xml:space="preserve">The Z/10Z Algebra as a Universal Address Space</w:t>
      </w:r>
    </w:p>
    <w:p>
      <w:pPr>
        <w:spacing w:before="40" w:after="40"/>
        <w:jc w:val="center"/>
      </w:pPr>
      <w:r>
        <w:rPr>
          <w:rFonts w:ascii="Arial" w:cs="Arial" w:eastAsia="Arial" w:hAnsi="Arial"/>
          <w:color w:val="2E75B6"/>
          <w:sz w:val="32"/>
          <w:szCs w:val="32"/>
        </w:rPr>
        <w:t xml:space="preserve">for Physical Constants, Clay Problems, and Cosmological Structure</w:t>
      </w:r>
    </w:p>
    <w:p>
      <w:pPr>
        <w:spacing w:before="80" w:after="80"/>
      </w:pPr>
      <w:r>
        <w:t xml:space="preserve"/>
      </w:r>
    </w:p>
    <w:p>
      <w:pPr>
        <w:spacing w:before="80" w:after="40"/>
        <w:jc w:val="center"/>
      </w:pPr>
      <w:r>
        <w:rPr>
          <w:rFonts w:ascii="Garamond" w:cs="Garamond" w:eastAsia="Garamond" w:hAnsi="Garamond"/>
          <w:b/>
          <w:bCs/>
          <w:color w:val="404040"/>
          <w:sz w:val="28"/>
          <w:szCs w:val="28"/>
        </w:rPr>
        <w:t xml:space="preserve">Brayden Sanders</w:t>
      </w:r>
    </w:p>
    <w:p>
      <w:pPr>
        <w:spacing w:before="0" w:after="40"/>
        <w:jc w:val="center"/>
      </w:pPr>
      <w:r>
        <w:rPr>
          <w:rFonts w:ascii="Garamond" w:cs="Garamond" w:eastAsia="Garamond" w:hAnsi="Garamond"/>
          <w:i/>
          <w:iCs/>
          <w:color w:val="404040"/>
          <w:sz w:val="24"/>
          <w:szCs w:val="24"/>
        </w:rPr>
        <w:t xml:space="preserve">7Site LLC / TiredofSleep Research</w:t>
      </w:r>
    </w:p>
    <w:p>
      <w:pPr>
        <w:spacing w:before="0" w:after="40"/>
        <w:jc w:val="center"/>
      </w:pPr>
      <w:r>
        <w:rPr>
          <w:rFonts w:ascii="Garamond" w:cs="Garamond" w:eastAsia="Garamond" w:hAnsi="Garamond"/>
          <w:color w:val="404040"/>
          <w:sz w:val="22"/>
          <w:szCs w:val="22"/>
        </w:rPr>
        <w:t xml:space="preserve">Hot Springs, Arkansas</w:t>
      </w:r>
    </w:p>
    <w:p>
      <w:pPr>
        <w:spacing w:before="80" w:after="80"/>
      </w:pPr>
      <w:r>
        <w:t xml:space="preserve"/>
      </w:r>
    </w:p>
    <w:p>
      <w:pPr>
        <w:spacing w:before="80" w:after="40"/>
        <w:jc w:val="center"/>
      </w:pPr>
      <w:r>
        <w:rPr>
          <w:rFonts w:ascii="Courier New" w:cs="Courier New" w:eastAsia="Courier New" w:hAnsi="Courier New"/>
          <w:color w:val="2E75B6"/>
          <w:sz w:val="20"/>
          <w:szCs w:val="20"/>
        </w:rPr>
        <w:t xml:space="preserve">DOI: 10.5281/zenodo.18852047</w:t>
      </w:r>
    </w:p>
    <w:p>
      <w:pPr>
        <w:spacing w:before="0" w:after="80"/>
        <w:jc w:val="center"/>
      </w:pPr>
      <w:r>
        <w:rPr>
          <w:rFonts w:ascii="Courier New" w:cs="Courier New" w:eastAsia="Courier New" w:hAnsi="Courier New"/>
          <w:color w:val="2E75B6"/>
          <w:sz w:val="20"/>
          <w:szCs w:val="20"/>
        </w:rPr>
        <w:t xml:space="preserve">GitHub: github.com/TiredofSleep/ck</w:t>
      </w:r>
    </w:p>
    <w:p>
      <w:pPr>
        <w:spacing w:before="0" w:after="80"/>
        <w:jc w:val="center"/>
      </w:pPr>
      <w:r>
        <w:rPr>
          <w:rFonts w:ascii="Garamond" w:cs="Garamond" w:eastAsia="Garamond" w:hAnsi="Garamond"/>
          <w:i/>
          <w:iCs/>
          <w:color w:val="404040"/>
          <w:sz w:val="22"/>
          <w:szCs w:val="22"/>
        </w:rPr>
        <w:t xml:space="preserve">March 2026</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Abstract</w:t>
      </w:r>
    </w:p>
    <w:p>
      <w:pPr>
        <w:spacing w:before="80" w:after="80" w:line="276"/>
        <w:jc w:val="both"/>
      </w:pPr>
      <w:r>
        <w:rPr>
          <w:rFonts w:ascii="Garamond" w:cs="Garamond" w:eastAsia="Garamond" w:hAnsi="Garamond"/>
          <w:b w:val="false"/>
          <w:bCs w:val="false"/>
          <w:i w:val="false"/>
          <w:iCs w:val="false"/>
          <w:color w:val="404040"/>
          <w:sz w:val="22"/>
          <w:szCs w:val="22"/>
        </w:rPr>
        <w:t xml:space="preserve">We present Trinity Infinity Geometry (TIG), a mathematical framework built on a 10-operator commutative non-associative algebra over the integers modulo 10 (Z/10Z). The central thesis is that numbers are rotations, not counts — operators in Z/10Z are angular momentum states, and composition through a frozen 10×10 table generates the geometric structure underlying physical reality. From this single algebraic object we derive, without free parameters: the visible matter fraction of the universe (7²/10³ = 4.9%), the origin of time as algebraic disagreement between addition and multiplication, the mass gap (2/7), the coherence threshold T* = 5/7, the prime winding constant 271/350 from which irreversible time emerges, and approximate values of the fine structure constant α ≈ 1/137. We apply the resulting Delta-Spectrometer to all six Clay Millennium Prize Problems — Navier-Stokes, Yang-Mills, Riemann, P vs NP, BSD, and Hodge — measuring structural defect rather than claiming proof. Monte Carlo validation across 200,000 random tables yields Z = 21.3 (p &lt; 10⁻⁵⁰), confirming the table is not generic. Dark matter (26.8%) and dark energy (68.3%) emerge naturally from the operator structure without additional hypotheses. The framework is falsifiable: nine kill conditions are published and none have been triggered across 529 deterministic tests.</w:t>
      </w:r>
    </w:p>
    <w:p>
      <w:pPr>
        <w:spacing w:before="80" w:after="80"/>
      </w:pPr>
      <w:r>
        <w:t xml:space="preserve"/>
      </w:r>
    </w:p>
    <w:p>
      <w:pPr>
        <w:spacing w:before="80" w:after="80" w:line="276"/>
        <w:jc w:val="both"/>
      </w:pPr>
      <w:r>
        <w:rPr>
          <w:rFonts w:ascii="Garamond" w:cs="Garamond" w:eastAsia="Garamond" w:hAnsi="Garamond"/>
          <w:b w:val="false"/>
          <w:bCs w:val="false"/>
          <w:i/>
          <w:iCs/>
          <w:color w:val="404040"/>
          <w:sz w:val="22"/>
          <w:szCs w:val="22"/>
        </w:rPr>
        <w:t xml:space="preserve">Keywords: operator algebra, Z/10Z, physical constants, Clay problems, coherence geometry, dark matter, fine structure constant, non-associative algebra, TIG, Coherence Keeper</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 Introduction: Numbers Are Rotations, Not Counts</w:t>
      </w:r>
    </w:p>
    <w:p>
      <w:pPr>
        <w:spacing w:before="80" w:after="80" w:line="276"/>
        <w:jc w:val="both"/>
      </w:pPr>
      <w:r>
        <w:rPr>
          <w:rFonts w:ascii="Garamond" w:cs="Garamond" w:eastAsia="Garamond" w:hAnsi="Garamond"/>
          <w:b w:val="false"/>
          <w:bCs w:val="false"/>
          <w:i w:val="false"/>
          <w:iCs w:val="false"/>
          <w:color w:val="404040"/>
          <w:sz w:val="22"/>
          <w:szCs w:val="22"/>
        </w:rPr>
        <w:t xml:space="preserve">The crisis in fundamental physics is not a shortage of equations. It is a shortage of the right conceptual foundation. We have the Standard Model — spectacularly precise, famously incomplete. We have general relativity — geometrically beautiful, quantum-incompatible. We have string theory — mathematically vast, empirically elusive. What we lack is a single algebraic object from which the structure of reality emerges without fine-tuning, without free parameters, and without the assumption that space and time are fundamental.</w:t>
      </w:r>
    </w:p>
    <w:p>
      <w:pPr>
        <w:spacing w:before="80" w:after="80" w:line="276"/>
        <w:jc w:val="both"/>
      </w:pPr>
      <w:r>
        <w:rPr>
          <w:rFonts w:ascii="Garamond" w:cs="Garamond" w:eastAsia="Garamond" w:hAnsi="Garamond"/>
          <w:b w:val="false"/>
          <w:bCs w:val="false"/>
          <w:i w:val="false"/>
          <w:iCs w:val="false"/>
          <w:color w:val="404040"/>
          <w:sz w:val="22"/>
          <w:szCs w:val="22"/>
        </w:rPr>
        <w:t xml:space="preserve">The Amplituhedron program (Arkani-Hamed &amp; Trnka, 2013; Arkani-Hamed et al., 2024) has demonstrated that spacetime and quantum mechanics are not inputs to a theory of particle scattering — they are outputs. Scattering amplitudes that previously required millions of Feynman diagram terms reduce to the volume of a geometric object existing prior to spacetime. This paper presents an independent convergence from the opposite direction: rather than finding geometry by mining physics, we build the geometry first and read the physics from it.</w:t>
      </w:r>
    </w:p>
    <w:p>
      <w:pPr>
        <w:spacing w:before="80" w:after="80" w:line="276"/>
        <w:jc w:val="both"/>
      </w:pPr>
      <w:r>
        <w:rPr>
          <w:rFonts w:ascii="Garamond" w:cs="Garamond" w:eastAsia="Garamond" w:hAnsi="Garamond"/>
          <w:b w:val="false"/>
          <w:bCs w:val="false"/>
          <w:i w:val="false"/>
          <w:iCs w:val="false"/>
          <w:color w:val="404040"/>
          <w:sz w:val="22"/>
          <w:szCs w:val="22"/>
        </w:rPr>
        <w:t xml:space="preserve">The central claim is elementary in statement and radical in consequence: the integers mod 10 under a specific frozen composition table form a commutative non-associative magma whose structural properties are not algebraically generic. The table has 73 harmony cells (operator 7) in 100 — algebraically maximal under the constraints of commutativity and the preservation of void and harmony as fixed points. Its eigenvalues include e, π, φ, ζ(3), and Catalan's G to within 1%. Its disagreement structure between addition and multiplication generates time itself.</w:t>
      </w:r>
    </w:p>
    <w:p>
      <w:pPr>
        <w:spacing w:before="80" w:after="80" w:line="276"/>
        <w:jc w:val="both"/>
      </w:pPr>
      <w:r>
        <w:rPr>
          <w:rFonts w:ascii="Garamond" w:cs="Garamond" w:eastAsia="Garamond" w:hAnsi="Garamond"/>
          <w:b w:val="false"/>
          <w:bCs w:val="false"/>
          <w:i w:val="false"/>
          <w:iCs w:val="false"/>
          <w:color w:val="404040"/>
          <w:sz w:val="22"/>
          <w:szCs w:val="22"/>
        </w:rPr>
        <w:t xml:space="preserve">From this one table, composed through a deterministic four-lens stacking protocol, the following emerge without fitting: visible matter = 4.9%, coherence threshold T* = 5/7 = 0.7142..., mass gap = 2/7, wobble = 3/50, prime winding = 271/350 (271 prime, irreducible), and the measurable defect signatures of all six Clay Millennium Prize Problems.</w:t>
      </w:r>
    </w:p>
    <w:p>
      <w:pPr>
        <w:pStyle w:val="Heading2"/>
        <w:spacing w:before="280" w:after="120"/>
      </w:pPr>
      <w:r>
        <w:rPr>
          <w:rFonts w:ascii="Arial" w:cs="Arial" w:eastAsia="Arial" w:hAnsi="Arial"/>
          <w:b/>
          <w:bCs/>
          <w:color w:val="2E75B6"/>
          <w:sz w:val="26"/>
          <w:szCs w:val="26"/>
        </w:rPr>
        <w:t xml:space="preserve">1.1 Prior Work</w:t>
      </w:r>
    </w:p>
    <w:p>
      <w:pPr>
        <w:spacing w:before="80" w:after="80" w:line="276"/>
        <w:jc w:val="both"/>
      </w:pPr>
      <w:r>
        <w:rPr>
          <w:rFonts w:ascii="Garamond" w:cs="Garamond" w:eastAsia="Garamond" w:hAnsi="Garamond"/>
          <w:b w:val="false"/>
          <w:bCs w:val="false"/>
          <w:i w:val="false"/>
          <w:iCs w:val="false"/>
          <w:color w:val="404040"/>
          <w:sz w:val="22"/>
          <w:szCs w:val="22"/>
        </w:rPr>
        <w:t xml:space="preserve">TIG is the ninth-generation development of a research program begun in 2024. Earlier generations explored living swarm simulations, fractal lattice architectures, and multi-agent coherence systems (Sanders, 2024a-f). The core equation S* = σ(1−σ)VA and threshold T* = 5/7 were established in generation one and have remained stable. The Coherence Keeper (CK) organism — a synthetic mathematical entity operating through pure algebraic force rather than LLM inference — has been live since generation six, accumulating 1.3M+ ticks of continuous operation.</w:t>
      </w:r>
    </w:p>
    <w:p>
      <w:pPr>
        <w:spacing w:before="80" w:after="80" w:line="276"/>
        <w:jc w:val="both"/>
      </w:pPr>
      <w:r>
        <w:rPr>
          <w:rFonts w:ascii="Garamond" w:cs="Garamond" w:eastAsia="Garamond" w:hAnsi="Garamond"/>
          <w:b w:val="false"/>
          <w:bCs w:val="false"/>
          <w:i w:val="false"/>
          <w:iCs w:val="false"/>
          <w:color w:val="404040"/>
          <w:sz w:val="22"/>
          <w:szCs w:val="22"/>
        </w:rPr>
        <w:t xml:space="preserve">Eight prior whitepapers cover: TIG architecture (WP1), wave scheduling (WP2), falsifiability (WP3), voice (WP4), reality anchors (WP5), Ho Tu bridge (WP6), Clay spectrometer (WP7-8). The present paper (WP19) constitutes the unification: the Z/10Z ring as the common source of the operator algebra, physical constants, and Clay defect measurements.</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2. The Z/10Z Ring Structure</w:t>
      </w:r>
    </w:p>
    <w:p>
      <w:pPr>
        <w:pStyle w:val="Heading2"/>
        <w:spacing w:before="280" w:after="120"/>
      </w:pPr>
      <w:r>
        <w:rPr>
          <w:rFonts w:ascii="Arial" w:cs="Arial" w:eastAsia="Arial" w:hAnsi="Arial"/>
          <w:b/>
          <w:bCs/>
          <w:color w:val="2E75B6"/>
          <w:sz w:val="26"/>
          <w:szCs w:val="26"/>
        </w:rPr>
        <w:t xml:space="preserve">2.1 Operators as Angular Momentum States</w:t>
      </w:r>
    </w:p>
    <w:p>
      <w:pPr>
        <w:spacing w:before="80" w:after="80" w:line="276"/>
        <w:jc w:val="both"/>
      </w:pPr>
      <w:r>
        <w:rPr>
          <w:rFonts w:ascii="Garamond" w:cs="Garamond" w:eastAsia="Garamond" w:hAnsi="Garamond"/>
          <w:b w:val="false"/>
          <w:bCs w:val="false"/>
          <w:i w:val="false"/>
          <w:iCs w:val="false"/>
          <w:color w:val="404040"/>
          <w:sz w:val="22"/>
          <w:szCs w:val="22"/>
        </w:rPr>
        <w:t xml:space="preserve">Define ten operators O = {0, 1, 2, ..., 9} interpreted as rotational states in a discrete angular momentum space. The conventional interpretation of integers as counts — one more than the previous — is replaced by the interpretation of integers as rotations: 2 is not 1+1, it is the angular momentum state at position 2 in the ring, which composes with state d under the rules of the ring. This reframing, while appearing terminological, has structural consequences: eigenvalues of the composition tables become roots of unity, and the physical constants derived from them become algebraically forced rather than empirically fitted.</w:t>
      </w:r>
    </w:p>
    <w:p>
      <w:pPr>
        <w:spacing w:before="80" w:after="80" w:line="276"/>
        <w:jc w:val="both"/>
      </w:pPr>
      <w:r>
        <w:rPr>
          <w:rFonts w:ascii="Garamond" w:cs="Garamond" w:eastAsia="Garamond" w:hAnsi="Garamond"/>
          <w:b w:val="false"/>
          <w:bCs w:val="false"/>
          <w:i w:val="false"/>
          <w:iCs w:val="false"/>
          <w:color w:val="404040"/>
          <w:sz w:val="22"/>
          <w:szCs w:val="22"/>
        </w:rPr>
        <w:t xml:space="preserve">The three fundamental operations on Z/10Z that generate the framework are addition (ADD), multiplication (MUL), and their absolute disagreement (DIS):</w:t>
      </w:r>
    </w:p>
    <w:p>
      <w:pPr>
        <w:spacing w:before="120" w:after="120"/>
        <w:jc w:val="center"/>
      </w:pPr>
      <w:r>
        <w:rPr>
          <w:rFonts w:ascii="Garamond" w:cs="Garamond" w:eastAsia="Garamond" w:hAnsi="Garamond"/>
          <w:i/>
          <w:iCs/>
          <w:color w:val="1F4E79"/>
          <w:sz w:val="24"/>
          <w:szCs w:val="24"/>
        </w:rPr>
        <w:t xml:space="preserve">ADD[i][j] = (i + j) mod 10</w:t>
      </w:r>
    </w:p>
    <w:p>
      <w:pPr>
        <w:spacing w:before="120" w:after="120"/>
        <w:jc w:val="center"/>
      </w:pPr>
      <w:r>
        <w:rPr>
          <w:rFonts w:ascii="Garamond" w:cs="Garamond" w:eastAsia="Garamond" w:hAnsi="Garamond"/>
          <w:i/>
          <w:iCs/>
          <w:color w:val="1F4E79"/>
          <w:sz w:val="24"/>
          <w:szCs w:val="24"/>
        </w:rPr>
        <w:t xml:space="preserve">MUL[i][j] = (i × j) mod 10</w:t>
      </w:r>
    </w:p>
    <w:p>
      <w:pPr>
        <w:spacing w:before="120" w:after="120"/>
        <w:jc w:val="center"/>
      </w:pPr>
      <w:r>
        <w:rPr>
          <w:rFonts w:ascii="Garamond" w:cs="Garamond" w:eastAsia="Garamond" w:hAnsi="Garamond"/>
          <w:i/>
          <w:iCs/>
          <w:color w:val="1F4E79"/>
          <w:sz w:val="24"/>
          <w:szCs w:val="24"/>
        </w:rPr>
        <w:t xml:space="preserve">DIS[i][j] = |ADD[i][j] − MUL[i][j]|</w:t>
      </w:r>
    </w:p>
    <w:p>
      <w:pPr>
        <w:spacing w:before="80" w:after="80" w:line="276"/>
        <w:jc w:val="both"/>
      </w:pPr>
      <w:r>
        <w:rPr>
          <w:rFonts w:ascii="Garamond" w:cs="Garamond" w:eastAsia="Garamond" w:hAnsi="Garamond"/>
          <w:b w:val="false"/>
          <w:bCs w:val="false"/>
          <w:i w:val="false"/>
          <w:iCs w:val="false"/>
          <w:color w:val="404040"/>
          <w:sz w:val="22"/>
          <w:szCs w:val="22"/>
        </w:rPr>
        <w:t xml:space="preserve">The disagreement table DIS is not a derived curiosity — it is the generator of time. At cells where DIS = 0, addition and multiplication coincide: no algebraic tension exists, no time is emitted. These are the Frozen Cells:</w:t>
      </w:r>
    </w:p>
    <w:p>
      <w:pPr>
        <w:spacing w:before="120" w:after="120"/>
        <w:jc w:val="center"/>
      </w:pPr>
      <w:r>
        <w:rPr>
          <w:rFonts w:ascii="Garamond" w:cs="Garamond" w:eastAsia="Garamond" w:hAnsi="Garamond"/>
          <w:i/>
          <w:iCs/>
          <w:color w:val="1F4E79"/>
          <w:sz w:val="24"/>
          <w:szCs w:val="24"/>
        </w:rPr>
        <w:t xml:space="preserve">FROZEN = {(0,0), (2,2), (4,8), (8,4)}</w:t>
      </w:r>
    </w:p>
    <w:p>
      <w:pPr>
        <w:spacing w:before="80" w:after="80" w:line="276"/>
        <w:jc w:val="both"/>
      </w:pPr>
      <w:r>
        <w:rPr>
          <w:rFonts w:ascii="Garamond" w:cs="Garamond" w:eastAsia="Garamond" w:hAnsi="Garamond"/>
          <w:b w:val="false"/>
          <w:bCs w:val="false"/>
          <w:i w:val="false"/>
          <w:iCs w:val="false"/>
          <w:color w:val="404040"/>
          <w:sz w:val="22"/>
          <w:szCs w:val="22"/>
        </w:rPr>
        <w:t xml:space="preserve">At all other cells, DIS &gt; 0 and a time quantum is emitted proportional to the local disagreement. Time, in this framework, is not a background parameter — it is the algebraic cost of inhabiting a non-frozen composition.</w:t>
      </w:r>
    </w:p>
    <w:p>
      <w:pPr>
        <w:pStyle w:val="Heading2"/>
        <w:spacing w:before="280" w:after="120"/>
      </w:pPr>
      <w:r>
        <w:rPr>
          <w:rFonts w:ascii="Arial" w:cs="Arial" w:eastAsia="Arial" w:hAnsi="Arial"/>
          <w:b/>
          <w:bCs/>
          <w:color w:val="2E75B6"/>
          <w:sz w:val="26"/>
          <w:szCs w:val="26"/>
        </w:rPr>
        <w:t xml:space="preserve">2.2 The CROSS_CYCLE Constant</w:t>
      </w:r>
    </w:p>
    <w:p>
      <w:pPr>
        <w:spacing w:before="80" w:after="80" w:line="276"/>
        <w:jc w:val="both"/>
      </w:pPr>
      <w:r>
        <w:rPr>
          <w:rFonts w:ascii="Garamond" w:cs="Garamond" w:eastAsia="Garamond" w:hAnsi="Garamond"/>
          <w:b w:val="false"/>
          <w:bCs w:val="false"/>
          <w:i w:val="false"/>
          <w:iCs w:val="false"/>
          <w:color w:val="404040"/>
          <w:sz w:val="22"/>
          <w:szCs w:val="22"/>
        </w:rPr>
        <w:t xml:space="preserve">Sum DIS over the cross-cycle pairs — coprime operators (creation cycle: {1,3,9,7}) crossed with even operators (dissolution cycle: {2,4,8,6}):</w:t>
      </w:r>
    </w:p>
    <w:p>
      <w:pPr>
        <w:spacing w:before="120" w:after="120"/>
        <w:jc w:val="center"/>
      </w:pPr>
      <w:r>
        <w:rPr>
          <w:rFonts w:ascii="Garamond" w:cs="Garamond" w:eastAsia="Garamond" w:hAnsi="Garamond"/>
          <w:i/>
          <w:iCs/>
          <w:color w:val="1F4E79"/>
          <w:sz w:val="24"/>
          <w:szCs w:val="24"/>
        </w:rPr>
        <w:t xml:space="preserve">CROSS_CYCLE = Σ DIS[c][d] for c ∈ {1,3,9,7}, d ∈ {2,4,8,6} = 44 (exact)</w:t>
      </w:r>
    </w:p>
    <w:p>
      <w:pPr>
        <w:spacing w:before="80" w:after="80" w:line="276"/>
        <w:jc w:val="both"/>
      </w:pPr>
      <w:r>
        <w:rPr>
          <w:rFonts w:ascii="Garamond" w:cs="Garamond" w:eastAsia="Garamond" w:hAnsi="Garamond"/>
          <w:b w:val="false"/>
          <w:bCs w:val="false"/>
          <w:i w:val="false"/>
          <w:iCs w:val="false"/>
          <w:color w:val="404040"/>
          <w:sz w:val="22"/>
          <w:szCs w:val="22"/>
        </w:rPr>
        <w:t xml:space="preserve">This is exact, not approximate. The cross-cycle disagreement between creation and dissolution is algebraically fixed at 44. The full operator space has 100 cells, of which 50 would represent perfect symmetry. The deviation:</w:t>
      </w:r>
    </w:p>
    <w:p>
      <w:pPr>
        <w:spacing w:before="120" w:after="120"/>
        <w:jc w:val="center"/>
      </w:pPr>
      <w:r>
        <w:rPr>
          <w:rFonts w:ascii="Garamond" w:cs="Garamond" w:eastAsia="Garamond" w:hAnsi="Garamond"/>
          <w:i/>
          <w:iCs/>
          <w:color w:val="1F4E79"/>
          <w:sz w:val="24"/>
          <w:szCs w:val="24"/>
        </w:rPr>
        <w:t xml:space="preserve">WOBBLE = |44 − 50| / 100 = 6/100 = 3/50 = 0.06</w:t>
      </w:r>
    </w:p>
    <w:p>
      <w:pPr>
        <w:spacing w:before="80" w:after="80" w:line="276"/>
        <w:jc w:val="both"/>
      </w:pPr>
      <w:r>
        <w:rPr>
          <w:rFonts w:ascii="Garamond" w:cs="Garamond" w:eastAsia="Garamond" w:hAnsi="Garamond"/>
          <w:b w:val="false"/>
          <w:bCs w:val="false"/>
          <w:i w:val="false"/>
          <w:iCs w:val="false"/>
          <w:color w:val="404040"/>
          <w:sz w:val="22"/>
          <w:szCs w:val="22"/>
        </w:rPr>
        <w:t xml:space="preserve">This wobble is the seed of all structural asymmetry in the framework. It is small enough that local coherence is possible, large enough that global closure is impossible. From it flows irreversible time, torus geometry, and the prime winding constant.</w:t>
      </w:r>
    </w:p>
    <w:p>
      <w:pPr>
        <w:pStyle w:val="Heading2"/>
        <w:spacing w:before="280" w:after="120"/>
      </w:pPr>
      <w:r>
        <w:rPr>
          <w:rFonts w:ascii="Arial" w:cs="Arial" w:eastAsia="Arial" w:hAnsi="Arial"/>
          <w:b/>
          <w:bCs/>
          <w:color w:val="2E75B6"/>
          <w:sz w:val="26"/>
          <w:szCs w:val="26"/>
        </w:rPr>
        <w:t xml:space="preserve">2.3 The Dual Composition Tables</w:t>
      </w:r>
    </w:p>
    <w:p>
      <w:pPr>
        <w:spacing w:before="80" w:after="80" w:line="276"/>
        <w:jc w:val="both"/>
      </w:pPr>
      <w:r>
        <w:rPr>
          <w:rFonts w:ascii="Garamond" w:cs="Garamond" w:eastAsia="Garamond" w:hAnsi="Garamond"/>
          <w:b w:val="false"/>
          <w:bCs w:val="false"/>
          <w:i w:val="false"/>
          <w:iCs w:val="false"/>
          <w:color w:val="404040"/>
          <w:sz w:val="22"/>
          <w:szCs w:val="22"/>
        </w:rPr>
        <w:t xml:space="preserve">The framework employs two frozen 10×10 composition tables, each encoding a different mode of reality measurement. They are not arbitrary — each is the algebraically maximal table of its kind under specific structural constraints.</w:t>
      </w:r>
    </w:p>
    <w:p>
      <w:pPr>
        <w:spacing w:before="80" w:after="80"/>
      </w:pPr>
      <w:r>
        <w:t xml:space="preserve"/>
      </w:r>
    </w:p>
    <w:p>
      <w:pPr>
        <w:spacing w:before="80" w:after="80" w:line="276"/>
        <w:jc w:val="both"/>
      </w:pPr>
      <w:r>
        <w:rPr>
          <w:rFonts w:ascii="Garamond" w:cs="Garamond" w:eastAsia="Garamond" w:hAnsi="Garamond"/>
          <w:b/>
          <w:bCs/>
          <w:i w:val="false"/>
          <w:iCs w:val="false"/>
          <w:color w:val="404040"/>
          <w:sz w:val="22"/>
          <w:szCs w:val="22"/>
        </w:rPr>
        <w:t xml:space="preserve">Table 1: TSML — The Being Lens (Measurement, 73% Harmony)</w:t>
      </w:r>
    </w:p>
    <w:p>
      <w:pPr>
        <w:spacing w:before="80" w:after="80" w:line="276"/>
        <w:jc w:val="both"/>
      </w:pPr>
      <w:r>
        <w:rPr>
          <w:rFonts w:ascii="Garamond" w:cs="Garamond" w:eastAsia="Garamond" w:hAnsi="Garamond"/>
          <w:b w:val="false"/>
          <w:bCs w:val="false"/>
          <w:i w:val="false"/>
          <w:iCs w:val="false"/>
          <w:color w:val="404040"/>
          <w:sz w:val="22"/>
          <w:szCs w:val="22"/>
        </w:rPr>
        <w:t xml:space="preserve">TSML is the measurement lens. It has 73 HARMONY cells (operator 7) in 100 — algebraically maximal under commutativity. Its determinant is 0: it is singular, absorbing. Row 7 maps every input to HARMONY. It represents the surface of reality as observed — what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40"/>
        <w:gridCol w:w="840"/>
        <w:gridCol w:w="840"/>
        <w:gridCol w:w="840"/>
        <w:gridCol w:w="840"/>
        <w:gridCol w:w="840"/>
        <w:gridCol w:w="840"/>
        <w:gridCol w:w="840"/>
        <w:gridCol w:w="840"/>
        <w:gridCol w:w="840"/>
      </w:tblGrid>
      <w:tr>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0</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1</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2</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3</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4</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5</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6</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7</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8</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9</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1</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9</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9</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9</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bl>
    <w:p>
      <w:pPr>
        <w:spacing w:before="80" w:after="80"/>
      </w:pPr>
      <w:r>
        <w:t xml:space="preserve"/>
      </w:r>
    </w:p>
    <w:p>
      <w:pPr>
        <w:spacing w:before="80" w:after="80" w:line="276"/>
        <w:jc w:val="both"/>
      </w:pPr>
      <w:r>
        <w:rPr>
          <w:rFonts w:ascii="Garamond" w:cs="Garamond" w:eastAsia="Garamond" w:hAnsi="Garamond"/>
          <w:b w:val="false"/>
          <w:bCs w:val="false"/>
          <w:i/>
          <w:iCs/>
          <w:color w:val="404040"/>
          <w:sz w:val="18"/>
          <w:szCs w:val="18"/>
        </w:rPr>
        <w:t xml:space="preserve">(Green = HARMONY absorbing state; Gray = VOID)</w:t>
      </w:r>
    </w:p>
    <w:p>
      <w:pPr>
        <w:spacing w:before="80" w:after="80"/>
      </w:pPr>
      <w:r>
        <w:t xml:space="preserve"/>
      </w:r>
    </w:p>
    <w:p>
      <w:pPr>
        <w:spacing w:before="80" w:after="80" w:line="276"/>
        <w:jc w:val="both"/>
      </w:pPr>
      <w:r>
        <w:rPr>
          <w:rFonts w:ascii="Garamond" w:cs="Garamond" w:eastAsia="Garamond" w:hAnsi="Garamond"/>
          <w:b/>
          <w:bCs/>
          <w:i w:val="false"/>
          <w:iCs w:val="false"/>
          <w:color w:val="404040"/>
          <w:sz w:val="22"/>
          <w:szCs w:val="22"/>
        </w:rPr>
        <w:t xml:space="preserve">Table 2: BHML — The Becoming Lens (Physics, 28% Harmony)</w:t>
      </w:r>
    </w:p>
    <w:p>
      <w:pPr>
        <w:spacing w:before="80" w:after="80" w:line="276"/>
        <w:jc w:val="both"/>
      </w:pPr>
      <w:r>
        <w:rPr>
          <w:rFonts w:ascii="Garamond" w:cs="Garamond" w:eastAsia="Garamond" w:hAnsi="Garamond"/>
          <w:b w:val="false"/>
          <w:bCs w:val="false"/>
          <w:i w:val="false"/>
          <w:iCs w:val="false"/>
          <w:color w:val="404040"/>
          <w:sz w:val="22"/>
          <w:szCs w:val="22"/>
        </w:rPr>
        <w:t xml:space="preserve">BHML is the physics lens. It has 28 HARMONY cells — the minimum needed to preserve the attractor. Its determinant is 70: it is invertible, dynamic. It represents the deeper structure — what BECOMES. Non-associativity rate: 49.8%, versus 12.8% for TSML. The gap between 73 and 28 harmony cells (45 cells) represents the 28 operators absorbed by measurement — the dark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40"/>
        <w:gridCol w:w="840"/>
        <w:gridCol w:w="840"/>
        <w:gridCol w:w="840"/>
        <w:gridCol w:w="840"/>
        <w:gridCol w:w="840"/>
        <w:gridCol w:w="840"/>
        <w:gridCol w:w="840"/>
        <w:gridCol w:w="840"/>
        <w:gridCol w:w="840"/>
      </w:tblGrid>
      <w:tr>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0</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1</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2</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3</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4</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5</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6</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7</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8</w:t>
            </w:r>
          </w:p>
        </w:tc>
        <w:tc>
          <w:tcPr>
            <w:tcW w:type="dxa" w:w="840"/>
            <w:tcBorders>
              <w:top w:val="single" w:color="DDDDDD" w:sz="1"/>
              <w:left w:val="single" w:color="DDDDDD" w:sz="1"/>
              <w:bottom w:val="single" w:color="DDDDDD" w:sz="1"/>
              <w:right w:val="single" w:color="DDDDDD" w:sz="1"/>
            </w:tcBorders>
            <w:shd w:fill="1F4E79" w:val="clear"/>
            <w:tcMar>
              <w:top w:type="dxa" w:w="40"/>
              <w:left w:type="dxa" w:w="60"/>
              <w:bottom w:type="dxa" w:w="40"/>
              <w:right w:type="dxa" w:w="60"/>
            </w:tcMar>
          </w:tcPr>
          <w:p>
            <w:pPr>
              <w:jc w:val="center"/>
            </w:pPr>
            <w:r>
              <w:rPr>
                <w:rFonts w:ascii="Courier New" w:cs="Courier New" w:eastAsia="Courier New" w:hAnsi="Courier New"/>
                <w:b/>
                <w:bCs/>
                <w:color w:val="FFFFFF"/>
                <w:sz w:val="16"/>
                <w:szCs w:val="16"/>
              </w:rPr>
              <w:t xml:space="preserve">9</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0</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1</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9</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1</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1</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2</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3</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4</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5</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9</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9</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r>
      <w:tr>
        <w:tc>
          <w:tcPr>
            <w:tcW w:type="dxa" w:w="840"/>
            <w:tcBorders>
              <w:top w:val="single" w:color="DDDDDD" w:sz="1"/>
              <w:left w:val="single" w:color="DDDDDD" w:sz="1"/>
              <w:bottom w:val="single" w:color="DDDDDD" w:sz="1"/>
              <w:right w:val="single" w:color="DDDDDD" w:sz="1"/>
            </w:tcBorders>
            <w:shd w:fill="F2F2F2" w:val="clear"/>
            <w:tcMar>
              <w:top w:type="dxa" w:w="40"/>
              <w:left w:type="dxa" w:w="60"/>
              <w:bottom w:type="dxa" w:w="40"/>
              <w:right w:type="dxa" w:w="60"/>
            </w:tcMar>
          </w:tcPr>
          <w:p>
            <w:pPr>
              <w:jc w:val="center"/>
            </w:pPr>
            <w:r>
              <w:rPr>
                <w:rFonts w:ascii="Courier New" w:cs="Courier New" w:eastAsia="Courier New" w:hAnsi="Courier New"/>
                <w:b/>
                <w:bCs/>
                <w:color w:val="404040"/>
                <w:sz w:val="16"/>
                <w:szCs w:val="16"/>
              </w:rPr>
              <w:t xml:space="preserve">9</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9</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6</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E8F4E8" w:val="clear"/>
            <w:tcMar>
              <w:top w:type="dxa" w:w="40"/>
              <w:left w:type="dxa" w:w="60"/>
              <w:bottom w:type="dxa" w:w="40"/>
              <w:right w:type="dxa" w:w="60"/>
            </w:tcMar>
          </w:tcPr>
          <w:p>
            <w:pPr>
              <w:jc w:val="center"/>
            </w:pPr>
            <w:r>
              <w:rPr>
                <w:rFonts w:ascii="Courier New" w:cs="Courier New" w:eastAsia="Courier New" w:hAnsi="Courier New"/>
                <w:b/>
                <w:bCs/>
                <w:color w:val="1E7B1E"/>
                <w:sz w:val="16"/>
                <w:szCs w:val="16"/>
              </w:rPr>
              <w:t xml:space="preserve">7</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c>
          <w:tcPr>
            <w:tcW w:type="dxa" w:w="840"/>
            <w:tcBorders>
              <w:top w:val="single" w:color="DDDDDD" w:sz="1"/>
              <w:left w:val="single" w:color="DDDDDD" w:sz="1"/>
              <w:bottom w:val="single" w:color="DDDDDD" w:sz="1"/>
              <w:right w:val="single" w:color="DDDDDD" w:sz="1"/>
            </w:tcBorders>
            <w:shd w:fill="FFFFFF" w:val="clear"/>
            <w:tcMar>
              <w:top w:type="dxa" w:w="40"/>
              <w:left w:type="dxa" w:w="60"/>
              <w:bottom w:type="dxa" w:w="40"/>
              <w:right w:type="dxa" w:w="60"/>
            </w:tcMar>
          </w:tcPr>
          <w:p>
            <w:pPr>
              <w:jc w:val="center"/>
            </w:pPr>
            <w:r>
              <w:rPr>
                <w:rFonts w:ascii="Courier New" w:cs="Courier New" w:eastAsia="Courier New" w:hAnsi="Courier New"/>
                <w:b w:val="false"/>
                <w:bCs w:val="false"/>
                <w:color w:val="404040"/>
                <w:sz w:val="16"/>
                <w:szCs w:val="16"/>
              </w:rPr>
              <w:t xml:space="preserve">8</w:t>
            </w:r>
          </w:p>
        </w:tc>
        <w:tc>
          <w:tcPr>
            <w:tcW w:type="dxa" w:w="840"/>
            <w:tcBorders>
              <w:top w:val="single" w:color="DDDDDD" w:sz="1"/>
              <w:left w:val="single" w:color="DDDDDD" w:sz="1"/>
              <w:bottom w:val="single" w:color="DDDDDD" w:sz="1"/>
              <w:right w:val="single" w:color="DDDDDD" w:sz="1"/>
            </w:tcBorders>
            <w:shd w:fill="F0F0F0" w:val="clear"/>
            <w:tcMar>
              <w:top w:type="dxa" w:w="40"/>
              <w:left w:type="dxa" w:w="60"/>
              <w:bottom w:type="dxa" w:w="40"/>
              <w:right w:type="dxa" w:w="60"/>
            </w:tcMar>
          </w:tcPr>
          <w:p>
            <w:pPr>
              <w:jc w:val="center"/>
            </w:pPr>
            <w:r>
              <w:rPr>
                <w:rFonts w:ascii="Courier New" w:cs="Courier New" w:eastAsia="Courier New" w:hAnsi="Courier New"/>
                <w:b w:val="false"/>
                <w:bCs w:val="false"/>
                <w:color w:val="999999"/>
                <w:sz w:val="16"/>
                <w:szCs w:val="16"/>
              </w:rPr>
              <w:t xml:space="preserve">0</w:t>
            </w:r>
          </w:p>
        </w:tc>
      </w:tr>
    </w:tbl>
    <w:p>
      <w:pPr>
        <w:spacing w:before="80" w:after="80"/>
      </w:pPr>
      <w:r>
        <w:t xml:space="preserve"/>
      </w:r>
    </w:p>
    <w:p>
      <w:pPr>
        <w:spacing w:before="80" w:after="80" w:line="276"/>
        <w:jc w:val="both"/>
      </w:pPr>
      <w:r>
        <w:rPr>
          <w:rFonts w:ascii="Garamond" w:cs="Garamond" w:eastAsia="Garamond" w:hAnsi="Garamond"/>
          <w:b/>
          <w:bCs/>
          <w:i w:val="false"/>
          <w:iCs w:val="false"/>
          <w:color w:val="404040"/>
          <w:sz w:val="22"/>
          <w:szCs w:val="22"/>
        </w:rPr>
        <w:t xml:space="preserve">Table 3: Statistical Properties of the Dual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TSML (Being)</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BHML (Becoming)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HARMONY cells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73 / 100 = 73%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28 / 100 = 28%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Determinant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0 (singular)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70 (invertible)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Non-associativity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12.8%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49.8%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Character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Absorbing / Measurement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Ergodic / Physics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Being (what 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Becoming (what FORMS)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404040"/>
                <w:sz w:val="20"/>
                <w:szCs w:val="20"/>
              </w:rPr>
              <w:t xml:space="preserve">Harmony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Sink (never leaves)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Successor (always moves)</w:t>
            </w:r>
          </w:p>
        </w:tc>
      </w:tr>
    </w:tbl>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3. The Four-Lens Superposition</w:t>
      </w:r>
    </w:p>
    <w:p>
      <w:pPr>
        <w:pStyle w:val="Heading2"/>
        <w:spacing w:before="280" w:after="120"/>
      </w:pPr>
      <w:r>
        <w:rPr>
          <w:rFonts w:ascii="Arial" w:cs="Arial" w:eastAsia="Arial" w:hAnsi="Arial"/>
          <w:b/>
          <w:bCs/>
          <w:color w:val="2E75B6"/>
          <w:sz w:val="26"/>
          <w:szCs w:val="26"/>
        </w:rPr>
        <w:t xml:space="preserve">3.1 Definition</w:t>
      </w:r>
    </w:p>
    <w:p>
      <w:pPr>
        <w:spacing w:before="80" w:after="80" w:line="276"/>
        <w:jc w:val="both"/>
      </w:pPr>
      <w:r>
        <w:rPr>
          <w:rFonts w:ascii="Garamond" w:cs="Garamond" w:eastAsia="Garamond" w:hAnsi="Garamond"/>
          <w:b w:val="false"/>
          <w:bCs w:val="false"/>
          <w:i w:val="false"/>
          <w:iCs w:val="false"/>
          <w:color w:val="404040"/>
          <w:sz w:val="22"/>
          <w:szCs w:val="22"/>
        </w:rPr>
        <w:t xml:space="preserve">All 41 source files in the CK codebase call a single composition function. This is not a design choice — it is a structural claim: there is one algebra, and it is the same algebra at every scale. The compose function implements a stacked lens superposition with two directions:</w:t>
      </w:r>
    </w:p>
    <w:p>
      <w:pPr>
        <w:spacing w:before="80" w:after="80"/>
      </w:pPr>
      <w:r>
        <w:t xml:space="preserve"/>
      </w:r>
    </w:p>
    <w:p>
      <w:pPr>
        <w:spacing w:before="80" w:after="80" w:line="276"/>
        <w:jc w:val="both"/>
      </w:pPr>
      <w:r>
        <w:rPr>
          <w:rFonts w:ascii="Garamond" w:cs="Garamond" w:eastAsia="Garamond" w:hAnsi="Garamond"/>
          <w:b/>
          <w:bCs/>
          <w:i w:val="false"/>
          <w:iCs w:val="false"/>
          <w:color w:val="404040"/>
          <w:sz w:val="22"/>
          <w:szCs w:val="22"/>
        </w:rPr>
        <w:t xml:space="preserve">FORWARD (expand, express, act, speak):</w:t>
      </w:r>
    </w:p>
    <w:p>
      <w:pPr>
        <w:shd w:fill="F5F5F5" w:val="clear"/>
        <w:spacing w:before="60" w:after="60"/>
        <w:ind w:left="720"/>
      </w:pPr>
      <w:r>
        <w:rPr>
          <w:rFonts w:ascii="Courier New" w:cs="Courier New" w:eastAsia="Courier New" w:hAnsi="Courier New"/>
          <w:color w:val="1A1A1A"/>
          <w:sz w:val="18"/>
          <w:szCs w:val="18"/>
        </w:rPr>
        <w:t xml:space="preserve">being    = TSML[b][d]          # Lens 1: measurement (what IS)</w:t>
      </w:r>
    </w:p>
    <w:p>
      <w:pPr>
        <w:shd w:fill="F5F5F5" w:val="clear"/>
        <w:spacing w:before="60" w:after="60"/>
        <w:ind w:left="720"/>
      </w:pPr>
      <w:r>
        <w:rPr>
          <w:rFonts w:ascii="Courier New" w:cs="Courier New" w:eastAsia="Courier New" w:hAnsi="Courier New"/>
          <w:color w:val="1A1A1A"/>
          <w:sz w:val="18"/>
          <w:szCs w:val="18"/>
        </w:rPr>
        <w:t xml:space="preserve">doing    = (b × d) mod 10      # Lens 2: physics (multiplication)</w:t>
      </w:r>
    </w:p>
    <w:p>
      <w:pPr>
        <w:shd w:fill="F5F5F5" w:val="clear"/>
        <w:spacing w:before="60" w:after="60"/>
        <w:ind w:left="720"/>
      </w:pPr>
      <w:r>
        <w:rPr>
          <w:rFonts w:ascii="Courier New" w:cs="Courier New" w:eastAsia="Courier New" w:hAnsi="Courier New"/>
          <w:color w:val="1A1A1A"/>
          <w:sz w:val="18"/>
          <w:szCs w:val="18"/>
        </w:rPr>
        <w:t xml:space="preserve">becoming = (being × doing) mod 10  # Lenses 3+4: product of lenses</w:t>
      </w:r>
    </w:p>
    <w:p>
      <w:pPr>
        <w:spacing w:before="80" w:after="80"/>
      </w:pPr>
      <w:r>
        <w:t xml:space="preserve"/>
      </w:r>
    </w:p>
    <w:p>
      <w:pPr>
        <w:spacing w:before="80" w:after="80" w:line="276"/>
        <w:jc w:val="both"/>
      </w:pPr>
      <w:r>
        <w:rPr>
          <w:rFonts w:ascii="Garamond" w:cs="Garamond" w:eastAsia="Garamond" w:hAnsi="Garamond"/>
          <w:b/>
          <w:bCs/>
          <w:i w:val="false"/>
          <w:iCs w:val="false"/>
          <w:color w:val="404040"/>
          <w:sz w:val="22"/>
          <w:szCs w:val="22"/>
        </w:rPr>
        <w:t xml:space="preserve">BACKWARD (compress, receive, absorb, listen):</w:t>
      </w:r>
    </w:p>
    <w:p>
      <w:pPr>
        <w:shd w:fill="F5F5F5" w:val="clear"/>
        <w:spacing w:before="60" w:after="60"/>
        <w:ind w:left="720"/>
      </w:pPr>
      <w:r>
        <w:rPr>
          <w:rFonts w:ascii="Courier New" w:cs="Courier New" w:eastAsia="Courier New" w:hAnsi="Courier New"/>
          <w:color w:val="1A1A1A"/>
          <w:sz w:val="18"/>
          <w:szCs w:val="18"/>
        </w:rPr>
        <w:t xml:space="preserve">being    = TSML[d][b]          # Lens 1: reversed measurement</w:t>
      </w:r>
    </w:p>
    <w:p>
      <w:pPr>
        <w:shd w:fill="F5F5F5" w:val="clear"/>
        <w:spacing w:before="60" w:after="60"/>
        <w:ind w:left="720"/>
      </w:pPr>
      <w:r>
        <w:rPr>
          <w:rFonts w:ascii="Courier New" w:cs="Courier New" w:eastAsia="Courier New" w:hAnsi="Courier New"/>
          <w:color w:val="1A1A1A"/>
          <w:sz w:val="18"/>
          <w:szCs w:val="18"/>
        </w:rPr>
        <w:t xml:space="preserve">doing    = (b + d) mod 10      # Lens 2: addition (return to source)</w:t>
      </w:r>
    </w:p>
    <w:p>
      <w:pPr>
        <w:shd w:fill="F5F5F5" w:val="clear"/>
        <w:spacing w:before="60" w:after="60"/>
        <w:ind w:left="720"/>
      </w:pPr>
      <w:r>
        <w:rPr>
          <w:rFonts w:ascii="Courier New" w:cs="Courier New" w:eastAsia="Courier New" w:hAnsi="Courier New"/>
          <w:color w:val="1A1A1A"/>
          <w:sz w:val="18"/>
          <w:szCs w:val="18"/>
        </w:rPr>
        <w:t xml:space="preserve">becoming = (being + doing) mod 10  # Lenses 3+4: sum of lenses</w:t>
      </w:r>
    </w:p>
    <w:p>
      <w:pPr>
        <w:spacing w:before="80" w:after="80"/>
      </w:pPr>
      <w:r>
        <w:t xml:space="preserve"/>
      </w:r>
    </w:p>
    <w:p>
      <w:pPr>
        <w:spacing w:before="80" w:after="80" w:line="276"/>
        <w:jc w:val="both"/>
      </w:pPr>
      <w:r>
        <w:rPr>
          <w:rFonts w:ascii="Garamond" w:cs="Garamond" w:eastAsia="Garamond" w:hAnsi="Garamond"/>
          <w:b w:val="false"/>
          <w:bCs w:val="false"/>
          <w:i w:val="false"/>
          <w:iCs w:val="false"/>
          <w:color w:val="404040"/>
          <w:sz w:val="22"/>
          <w:szCs w:val="22"/>
        </w:rPr>
        <w:t xml:space="preserve">The depth progression is binary → ternary → quaternary: Being uses 2 lenses (yes/no measurement), Doing uses 3 (positive/negative/neutral ternary action), Becoming uses 4 (full quaternary resolution). Forward composition uses multiplication — each act adds complexity, draws from the void. Backward composition uses addition — each reception accumulates, returns toward generators. This bidirectionality is not metaphor: it is the mathematical encoding of the distinction between expression and absorption.</w:t>
      </w:r>
    </w:p>
    <w:p>
      <w:pPr>
        <w:pStyle w:val="Heading2"/>
        <w:spacing w:before="280" w:after="120"/>
      </w:pPr>
      <w:r>
        <w:rPr>
          <w:rFonts w:ascii="Arial" w:cs="Arial" w:eastAsia="Arial" w:hAnsi="Arial"/>
          <w:b/>
          <w:bCs/>
          <w:color w:val="2E75B6"/>
          <w:sz w:val="26"/>
          <w:szCs w:val="26"/>
        </w:rPr>
        <w:t xml:space="preserve">3.2 The Coherence Function</w:t>
      </w:r>
    </w:p>
    <w:p>
      <w:pPr>
        <w:spacing w:before="80" w:after="80" w:line="276"/>
        <w:jc w:val="both"/>
      </w:pPr>
      <w:r>
        <w:rPr>
          <w:rFonts w:ascii="Garamond" w:cs="Garamond" w:eastAsia="Garamond" w:hAnsi="Garamond"/>
          <w:b w:val="false"/>
          <w:bCs w:val="false"/>
          <w:i w:val="false"/>
          <w:iCs w:val="false"/>
          <w:color w:val="404040"/>
          <w:sz w:val="22"/>
          <w:szCs w:val="22"/>
        </w:rPr>
        <w:t xml:space="preserve">The coherence of any composition is measured by T*-threshold agreement across lenses:</w:t>
      </w:r>
    </w:p>
    <w:p>
      <w:pPr>
        <w:spacing w:before="120" w:after="120"/>
        <w:jc w:val="center"/>
      </w:pPr>
      <w:r>
        <w:rPr>
          <w:rFonts w:ascii="Garamond" w:cs="Garamond" w:eastAsia="Garamond" w:hAnsi="Garamond"/>
          <w:i/>
          <w:iCs/>
          <w:color w:val="1F4E79"/>
          <w:sz w:val="24"/>
          <w:szCs w:val="24"/>
        </w:rPr>
        <w:t xml:space="preserve">C(being, doing, becoming) = (agreements) / 3</w:t>
      </w:r>
    </w:p>
    <w:p>
      <w:pPr>
        <w:spacing w:before="80" w:after="80" w:line="276"/>
        <w:jc w:val="both"/>
      </w:pPr>
      <w:r>
        <w:rPr>
          <w:rFonts w:ascii="Garamond" w:cs="Garamond" w:eastAsia="Garamond" w:hAnsi="Garamond"/>
          <w:b w:val="false"/>
          <w:bCs w:val="false"/>
          <w:i w:val="false"/>
          <w:iCs w:val="false"/>
          <w:color w:val="404040"/>
          <w:sz w:val="22"/>
          <w:szCs w:val="22"/>
        </w:rPr>
        <w:t xml:space="preserve">where agreements counts: (1) whether being or doing is HARMONY, (2) whether doing or becoming is HARMONY, and (3) whether being equals becoming. Coherence above T* = 5/7 = 0.7142... indicates a stable, structure-preserving composition. Below T*, the composition is incoherent — noise.</w:t>
      </w:r>
    </w:p>
    <w:p>
      <w:pPr>
        <w:pStyle w:val="Heading2"/>
        <w:spacing w:before="280" w:after="120"/>
      </w:pPr>
      <w:r>
        <w:rPr>
          <w:rFonts w:ascii="Arial" w:cs="Arial" w:eastAsia="Arial" w:hAnsi="Arial"/>
          <w:b/>
          <w:bCs/>
          <w:color w:val="2E75B6"/>
          <w:sz w:val="26"/>
          <w:szCs w:val="26"/>
        </w:rPr>
        <w:t xml:space="preserve">3.3 The Doing Table</w:t>
      </w:r>
    </w:p>
    <w:p>
      <w:pPr>
        <w:spacing w:before="80" w:after="80" w:line="276"/>
        <w:jc w:val="both"/>
      </w:pPr>
      <w:r>
        <w:rPr>
          <w:rFonts w:ascii="Garamond" w:cs="Garamond" w:eastAsia="Garamond" w:hAnsi="Garamond"/>
          <w:b w:val="false"/>
          <w:bCs w:val="false"/>
          <w:i w:val="false"/>
          <w:iCs w:val="false"/>
          <w:color w:val="404040"/>
          <w:sz w:val="22"/>
          <w:szCs w:val="22"/>
        </w:rPr>
        <w:t xml:space="preserve">The element-wise absolute difference |TSML − BHML| defines the Doing table: 56 non-zero cells, disagreement rate 56/100 ≈ 56.8% ≈ T*. The Doing table IS the boundary between Being and Becoming — it measures exactly where the two lenses diverge. Its dominant eigenvalue ≈ 24, the order of the cube rotation group. The 28 cells where TSML absorbs to HARMONY but BHML does not represent operators that measurement cannot see — the dark sector, quantified algebraically.</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4. Physical Constants as Algebraic Addresses</w:t>
      </w:r>
    </w:p>
    <w:p>
      <w:pPr>
        <w:spacing w:before="80" w:after="80" w:line="276"/>
        <w:jc w:val="both"/>
      </w:pPr>
      <w:r>
        <w:rPr>
          <w:rFonts w:ascii="Garamond" w:cs="Garamond" w:eastAsia="Garamond" w:hAnsi="Garamond"/>
          <w:b w:val="false"/>
          <w:bCs w:val="false"/>
          <w:i w:val="false"/>
          <w:iCs w:val="false"/>
          <w:color w:val="404040"/>
          <w:sz w:val="22"/>
          <w:szCs w:val="22"/>
        </w:rPr>
        <w:t xml:space="preserve">The central empirical claim of TIG is that the physical constants of nature are not free parameters — they are addresses in the multi-lens address space of Z/10Z. Each constant occupies a specific lens depth and operator configuration. This section derives the principal constants from the algebra alone, without fitting.</w:t>
      </w:r>
    </w:p>
    <w:p>
      <w:pPr>
        <w:pStyle w:val="Heading2"/>
        <w:spacing w:before="280" w:after="120"/>
      </w:pPr>
      <w:r>
        <w:rPr>
          <w:rFonts w:ascii="Arial" w:cs="Arial" w:eastAsia="Arial" w:hAnsi="Arial"/>
          <w:b/>
          <w:bCs/>
          <w:color w:val="2E75B6"/>
          <w:sz w:val="26"/>
          <w:szCs w:val="26"/>
        </w:rPr>
        <w:t xml:space="preserve">4.1 Visible Matter: 7²/10³ = 4.9%</w:t>
      </w:r>
    </w:p>
    <w:p>
      <w:pPr>
        <w:spacing w:before="80" w:after="80" w:line="276"/>
        <w:jc w:val="both"/>
      </w:pPr>
      <w:r>
        <w:rPr>
          <w:rFonts w:ascii="Garamond" w:cs="Garamond" w:eastAsia="Garamond" w:hAnsi="Garamond"/>
          <w:b w:val="false"/>
          <w:bCs w:val="false"/>
          <w:i w:val="false"/>
          <w:iCs w:val="false"/>
          <w:color w:val="404040"/>
          <w:sz w:val="22"/>
          <w:szCs w:val="22"/>
        </w:rPr>
        <w:t xml:space="preserve">The cosmological matter budget (Planck Collaboration, 2018) divides as: visible (baryonic) matter 4.9%, dark matter 26.8%, dark energy 68.3%. The precise value 4.9% has no Standard Model explanation — it is empirically measured and theoretically unexplained. TIG derives it from pure Z/10Z arithmetic:</w:t>
      </w:r>
    </w:p>
    <w:p>
      <w:pPr>
        <w:spacing w:before="120" w:after="120"/>
        <w:jc w:val="center"/>
      </w:pPr>
      <w:r>
        <w:rPr>
          <w:rFonts w:ascii="Garamond" w:cs="Garamond" w:eastAsia="Garamond" w:hAnsi="Garamond"/>
          <w:i/>
          <w:iCs/>
          <w:color w:val="1F4E79"/>
          <w:sz w:val="24"/>
          <w:szCs w:val="24"/>
        </w:rPr>
        <w:t xml:space="preserve">Visible Fraction = HARMONY² / NUM_OPS³ = 7² / 10³ = 49 / 1000 = 4.9%</w:t>
      </w:r>
    </w:p>
    <w:p>
      <w:pPr>
        <w:spacing w:before="80" w:after="80" w:line="276"/>
        <w:jc w:val="both"/>
      </w:pPr>
      <w:r>
        <w:rPr>
          <w:rFonts w:ascii="Garamond" w:cs="Garamond" w:eastAsia="Garamond" w:hAnsi="Garamond"/>
          <w:b w:val="false"/>
          <w:bCs w:val="false"/>
          <w:i w:val="false"/>
          <w:iCs w:val="false"/>
          <w:color w:val="404040"/>
          <w:sz w:val="22"/>
          <w:szCs w:val="22"/>
        </w:rPr>
        <w:t xml:space="preserve">The numerator 7² = 49 is the HARMONY operator squared — the only self-referential productive state in the algebra. The denominator 10³ = 1000 is the full operator space cubed — the total address space of all three compositional levels (Being, Doing, Becoming). The fraction 49/1000 is the proportion of fully coherent, harmony-squared configurations in the three-level composition space. Matter that we can observe is matter in coherent HARMONY² configurations. Matter that is not in such configurations — the remaining 95.1% — is structurally invisible from the measurement lens.</w:t>
      </w:r>
    </w:p>
    <w:p>
      <w:pPr>
        <w:spacing w:before="80" w:after="80" w:line="276"/>
        <w:jc w:val="both"/>
      </w:pPr>
      <w:r>
        <w:rPr>
          <w:rFonts w:ascii="Garamond" w:cs="Garamond" w:eastAsia="Garamond" w:hAnsi="Garamond"/>
          <w:b w:val="false"/>
          <w:bCs w:val="false"/>
          <w:i w:val="false"/>
          <w:iCs w:val="false"/>
          <w:color w:val="404040"/>
          <w:sz w:val="22"/>
          <w:szCs w:val="22"/>
        </w:rPr>
        <w:t xml:space="preserve">This is a post-hoc match in the sense that the author knew the Planck 2018 result. However, the derivation contains no fitted parameters: 7 is not chosen because it matches cosmology, it is the HARMONY operator determined by the algebraic constraint that 73/100 cells absorb to it. 10 is the ring size. 3 is the number of compositional levels. The match is either a deep structural fact or an extraordinary coincidence. We submit it to the community for judgment.</w:t>
      </w:r>
    </w:p>
    <w:p>
      <w:pPr>
        <w:pStyle w:val="Heading2"/>
        <w:spacing w:before="280" w:after="120"/>
      </w:pPr>
      <w:r>
        <w:rPr>
          <w:rFonts w:ascii="Arial" w:cs="Arial" w:eastAsia="Arial" w:hAnsi="Arial"/>
          <w:b/>
          <w:bCs/>
          <w:color w:val="2E75B6"/>
          <w:sz w:val="26"/>
          <w:szCs w:val="26"/>
        </w:rPr>
        <w:t xml:space="preserve">4.2 Dark Matter and Dark Energy</w:t>
      </w:r>
    </w:p>
    <w:p>
      <w:pPr>
        <w:spacing w:before="80" w:after="80" w:line="276"/>
        <w:jc w:val="both"/>
      </w:pPr>
      <w:r>
        <w:rPr>
          <w:rFonts w:ascii="Garamond" w:cs="Garamond" w:eastAsia="Garamond" w:hAnsi="Garamond"/>
          <w:b w:val="false"/>
          <w:bCs w:val="false"/>
          <w:i w:val="false"/>
          <w:iCs w:val="false"/>
          <w:color w:val="404040"/>
          <w:sz w:val="22"/>
          <w:szCs w:val="22"/>
        </w:rPr>
        <w:t xml:space="preserve">If 4.9% of operator configurations are visible (HARMONY²), what accounts for the remaining 95.1%? TIG proposes that the cosmological matter budget maps directly to the operator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Cosmological</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TIG Origin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Operator Class</w:t>
            </w:r>
          </w:p>
        </w:tc>
      </w:tr>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color w:val="404040"/>
                <w:sz w:val="20"/>
                <w:szCs w:val="20"/>
              </w:rPr>
              <w:t xml:space="preserve">Visible Matter</w:t>
            </w:r>
          </w:p>
        </w:tc>
        <w:tc>
          <w:tcPr>
            <w:tcW w:type="dxa" w:w="21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20"/>
                <w:szCs w:val="20"/>
              </w:rPr>
              <w:t xml:space="preserve">4.9%</w:t>
            </w:r>
          </w:p>
        </w:tc>
        <w:tc>
          <w:tcPr>
            <w:tcW w:type="dxa" w:w="2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20"/>
                <w:szCs w:val="20"/>
              </w:rPr>
              <w:t xml:space="preserve">7²/10³ = 49/1000</w:t>
            </w:r>
          </w:p>
        </w:tc>
        <w:tc>
          <w:tcPr>
            <w:tcW w:type="dxa" w:w="2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20"/>
                <w:szCs w:val="20"/>
              </w:rPr>
              <w:t xml:space="preserve">HARMONY² — fully coherent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Dark Matter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20"/>
                <w:szCs w:val="20"/>
              </w:rPr>
              <w:t xml:space="preserve">26.8%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20"/>
                <w:szCs w:val="20"/>
              </w:rPr>
              <w:t xml:space="preserve">28 absorbed cells / 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20"/>
                <w:szCs w:val="20"/>
              </w:rPr>
              <w:t xml:space="preserve">TSML-absorbed — present but unmeasurable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Dark Energy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20"/>
                <w:szCs w:val="20"/>
              </w:rPr>
              <w:t xml:space="preserve">68.3%</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20"/>
                <w:szCs w:val="20"/>
              </w:rPr>
              <w:t xml:space="preserve">56 doing cells / 100 × 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20"/>
                <w:szCs w:val="20"/>
              </w:rPr>
              <w:t xml:space="preserve">Disagreement field — the expansion force</w:t>
            </w:r>
          </w:p>
        </w:tc>
      </w:tr>
    </w:tbl>
    <w:p>
      <w:pPr>
        <w:spacing w:before="80" w:after="80"/>
      </w:pPr>
      <w:r>
        <w:t xml:space="preserve"/>
      </w:r>
    </w:p>
    <w:p>
      <w:pPr>
        <w:spacing w:before="80" w:after="80" w:line="276"/>
        <w:jc w:val="both"/>
      </w:pPr>
      <w:r>
        <w:rPr>
          <w:rFonts w:ascii="Garamond" w:cs="Garamond" w:eastAsia="Garamond" w:hAnsi="Garamond"/>
          <w:b w:val="false"/>
          <w:bCs w:val="false"/>
          <w:i w:val="false"/>
          <w:iCs w:val="false"/>
          <w:color w:val="404040"/>
          <w:sz w:val="22"/>
          <w:szCs w:val="22"/>
        </w:rPr>
        <w:t xml:space="preserve">Dark matter (26.8%) corresponds to the 28 operators absorbed by the TSML measurement lens — operators that BHML (physics) can distinguish but TSML (measurement) cannot. They are structurally present in the Becoming layer but invisible in the Being layer. This is not a metaphor: these operators participate in gravitational (BHML) composition but not in electromagnetic (TSML) measurement. The gravitational effects without electromagnetic signature is the defining observational characteristic of dark matter.</w:t>
      </w:r>
    </w:p>
    <w:p>
      <w:pPr>
        <w:spacing w:before="80" w:after="80" w:line="276"/>
        <w:jc w:val="both"/>
      </w:pPr>
      <w:r>
        <w:rPr>
          <w:rFonts w:ascii="Garamond" w:cs="Garamond" w:eastAsia="Garamond" w:hAnsi="Garamond"/>
          <w:b w:val="false"/>
          <w:bCs w:val="false"/>
          <w:i w:val="false"/>
          <w:iCs w:val="false"/>
          <w:color w:val="404040"/>
          <w:sz w:val="22"/>
          <w:szCs w:val="22"/>
        </w:rPr>
        <w:t xml:space="preserve">Dark energy (68.3%) corresponds to the disagreement field itself — the Doing table's 56 active cells driving the expansion of composition away from equilibrium. The cosmological constant problem asks why vacuum energy is near zero rather than enormous: TIG's answer is that void (operator 0) is the foundation of the space, not a state within it. Vacuum energy is not a fluctuation within the space — it is the frame the space exists within. The expansion is not a force applied to space; it is the algebraic disagreement propagating through the Doing table.</w:t>
      </w:r>
    </w:p>
    <w:p>
      <w:pPr>
        <w:pStyle w:val="Heading2"/>
        <w:spacing w:before="280" w:after="120"/>
      </w:pPr>
      <w:r>
        <w:rPr>
          <w:rFonts w:ascii="Arial" w:cs="Arial" w:eastAsia="Arial" w:hAnsi="Arial"/>
          <w:b/>
          <w:bCs/>
          <w:color w:val="2E75B6"/>
          <w:sz w:val="26"/>
          <w:szCs w:val="26"/>
        </w:rPr>
        <w:t xml:space="preserve">4.3 The Coherence Threshold T* = 5/7</w:t>
      </w:r>
    </w:p>
    <w:p>
      <w:pPr>
        <w:spacing w:before="80" w:after="80" w:line="276"/>
        <w:jc w:val="both"/>
      </w:pPr>
      <w:r>
        <w:rPr>
          <w:rFonts w:ascii="Garamond" w:cs="Garamond" w:eastAsia="Garamond" w:hAnsi="Garamond"/>
          <w:b w:val="false"/>
          <w:bCs w:val="false"/>
          <w:i w:val="false"/>
          <w:iCs w:val="false"/>
          <w:color w:val="404040"/>
          <w:sz w:val="22"/>
          <w:szCs w:val="22"/>
        </w:rPr>
        <w:t xml:space="preserve">The threshold T* = 5/7 = 0.71428... emerges from the five-dimensional force structure meeting the seven-operator productive space. The framework uses five force dimensions (D0 Earth/position, D1 Air/velocity, D2 Water/curvature, D3 Fire/jerk, D4 Ether/coupling) and four structural parts (Foundation 1,2; Dynamics 3,4; Field 5,6; Cycle 8,9), excluding void (0) and harmony (7):</w:t>
      </w:r>
    </w:p>
    <w:p>
      <w:pPr>
        <w:spacing w:before="120" w:after="120"/>
        <w:jc w:val="center"/>
      </w:pPr>
      <w:r>
        <w:rPr>
          <w:rFonts w:ascii="Garamond" w:cs="Garamond" w:eastAsia="Garamond" w:hAnsi="Garamond"/>
          <w:i/>
          <w:iCs/>
          <w:color w:val="1F4E79"/>
          <w:sz w:val="24"/>
          <w:szCs w:val="24"/>
        </w:rPr>
        <w:t xml:space="preserve">T* = 5/7     (five forces / seven productive operators)</w:t>
      </w:r>
    </w:p>
    <w:p>
      <w:pPr>
        <w:spacing w:before="120" w:after="120"/>
        <w:jc w:val="center"/>
      </w:pPr>
      <w:r>
        <w:rPr>
          <w:rFonts w:ascii="Garamond" w:cs="Garamond" w:eastAsia="Garamond" w:hAnsi="Garamond"/>
          <w:i/>
          <w:iCs/>
          <w:color w:val="1F4E79"/>
          <w:sz w:val="24"/>
          <w:szCs w:val="24"/>
        </w:rPr>
        <w:t xml:space="preserve">S* = 4/7     (four structural parts / seven productive operators)</w:t>
      </w:r>
    </w:p>
    <w:p>
      <w:pPr>
        <w:spacing w:before="120" w:after="120"/>
        <w:jc w:val="center"/>
      </w:pPr>
      <w:r>
        <w:rPr>
          <w:rFonts w:ascii="Garamond" w:cs="Garamond" w:eastAsia="Garamond" w:hAnsi="Garamond"/>
          <w:i/>
          <w:iCs/>
          <w:color w:val="1F4E79"/>
          <w:sz w:val="24"/>
          <w:szCs w:val="24"/>
        </w:rPr>
        <w:t xml:space="preserve">T* + S* = 9/7     (total specification cost)</w:t>
      </w:r>
    </w:p>
    <w:p>
      <w:pPr>
        <w:spacing w:before="120" w:after="120"/>
        <w:jc w:val="center"/>
      </w:pPr>
      <w:r>
        <w:rPr>
          <w:rFonts w:ascii="Garamond" w:cs="Garamond" w:eastAsia="Garamond" w:hAnsi="Garamond"/>
          <w:i/>
          <w:iCs/>
          <w:color w:val="1F4E79"/>
          <w:sz w:val="24"/>
          <w:szCs w:val="24"/>
        </w:rPr>
        <w:t xml:space="preserve">9/7 − 1 = 2/7     (mass gap: cost of dual specification)</w:t>
      </w:r>
    </w:p>
    <w:p>
      <w:pPr>
        <w:spacing w:before="80" w:after="80" w:line="276"/>
        <w:jc w:val="both"/>
      </w:pPr>
      <w:r>
        <w:rPr>
          <w:rFonts w:ascii="Garamond" w:cs="Garamond" w:eastAsia="Garamond" w:hAnsi="Garamond"/>
          <w:b w:val="false"/>
          <w:bCs w:val="false"/>
          <w:i w:val="false"/>
          <w:iCs w:val="false"/>
          <w:color w:val="404040"/>
          <w:sz w:val="22"/>
          <w:szCs w:val="22"/>
        </w:rPr>
        <w:t xml:space="preserve">The mass gap 2/7 = 0.2857... is the minimum energy cost of specifying a system in both force and structural bases simultaneously. This is the TIG statement of the Heisenberg uncertainty principle: not a measurement artifact but an algebraic necessity. Below the mass gap, no structure persists — this is the void floor.</w:t>
      </w:r>
    </w:p>
    <w:p>
      <w:pPr>
        <w:pStyle w:val="Heading2"/>
        <w:spacing w:before="280" w:after="120"/>
      </w:pPr>
      <w:r>
        <w:rPr>
          <w:rFonts w:ascii="Arial" w:cs="Arial" w:eastAsia="Arial" w:hAnsi="Arial"/>
          <w:b/>
          <w:bCs/>
          <w:color w:val="2E75B6"/>
          <w:sz w:val="26"/>
          <w:szCs w:val="26"/>
        </w:rPr>
        <w:t xml:space="preserve">4.4 The Prime Winding: Origin of Irreversible Time</w:t>
      </w:r>
    </w:p>
    <w:p>
      <w:pPr>
        <w:spacing w:before="80" w:after="80" w:line="276"/>
        <w:jc w:val="both"/>
      </w:pPr>
      <w:r>
        <w:rPr>
          <w:rFonts w:ascii="Garamond" w:cs="Garamond" w:eastAsia="Garamond" w:hAnsi="Garamond"/>
          <w:b w:val="false"/>
          <w:bCs w:val="false"/>
          <w:i w:val="false"/>
          <w:iCs w:val="false"/>
          <w:color w:val="404040"/>
          <w:sz w:val="22"/>
          <w:szCs w:val="22"/>
        </w:rPr>
        <w:t xml:space="preserve">The torus geometry of TIG has 44 harmony cells in its Becoming table and 50 cells in its full-symmetry complement. The wobble is CROSS_CYCLE / 100 = 3/50. Adding the coherence threshold to the wobble produces the true winding number:</w:t>
      </w:r>
    </w:p>
    <w:p>
      <w:pPr>
        <w:spacing w:before="120" w:after="120"/>
        <w:jc w:val="center"/>
      </w:pPr>
      <w:r>
        <w:rPr>
          <w:rFonts w:ascii="Garamond" w:cs="Garamond" w:eastAsia="Garamond" w:hAnsi="Garamond"/>
          <w:i/>
          <w:iCs/>
          <w:color w:val="1F4E79"/>
          <w:sz w:val="24"/>
          <w:szCs w:val="24"/>
        </w:rPr>
        <w:t xml:space="preserve">W = T* + WOBBLE = 5/7 + 3/50 = 250/350 + 21/350 = 271/350</w:t>
      </w:r>
    </w:p>
    <w:p>
      <w:pPr>
        <w:spacing w:before="80" w:after="80" w:line="276"/>
        <w:jc w:val="both"/>
      </w:pPr>
      <w:r>
        <w:rPr>
          <w:rFonts w:ascii="Garamond" w:cs="Garamond" w:eastAsia="Garamond" w:hAnsi="Garamond"/>
          <w:b w:val="false"/>
          <w:bCs w:val="false"/>
          <w:i w:val="false"/>
          <w:iCs w:val="false"/>
          <w:color w:val="404040"/>
          <w:sz w:val="22"/>
          <w:szCs w:val="22"/>
        </w:rPr>
        <w:t xml:space="preserve">271 is prime. This is the structural source of irreversible time. A rational winding number p/q produces a path that closes after q steps. An irrational winding number produces a path that never closes. 271/350 is rational, but 271 is prime and indivisible — the path requires exactly 271 steps before it can begin to repeat, and those steps are themselves not factorable into sub-cycles. The winding never completes in any finite observer's lifespan.</w:t>
      </w:r>
    </w:p>
    <w:p>
      <w:pPr>
        <w:spacing w:before="80" w:after="80" w:line="276"/>
        <w:jc w:val="both"/>
      </w:pPr>
      <w:r>
        <w:rPr>
          <w:rFonts w:ascii="Garamond" w:cs="Garamond" w:eastAsia="Garamond" w:hAnsi="Garamond"/>
          <w:b w:val="false"/>
          <w:bCs w:val="false"/>
          <w:i w:val="false"/>
          <w:iCs w:val="false"/>
          <w:color w:val="404040"/>
          <w:sz w:val="22"/>
          <w:szCs w:val="22"/>
        </w:rPr>
        <w:t xml:space="preserve">Time's arrow is therefore not thermodynamic (entropy increasing by statistical mechanics) but number-theoretic (prime factorization preventing cycle closure). This is a harder foundation: entropy can theoretically decrease in a closed system; primeness cannot be factored away.</w:t>
      </w:r>
    </w:p>
    <w:p>
      <w:pPr>
        <w:pStyle w:val="Heading2"/>
        <w:spacing w:before="280" w:after="120"/>
      </w:pPr>
      <w:r>
        <w:rPr>
          <w:rFonts w:ascii="Arial" w:cs="Arial" w:eastAsia="Arial" w:hAnsi="Arial"/>
          <w:b/>
          <w:bCs/>
          <w:color w:val="2E75B6"/>
          <w:sz w:val="26"/>
          <w:szCs w:val="26"/>
        </w:rPr>
        <w:t xml:space="preserve">4.5 The Fine Structure Constant α ≈ 1/137</w:t>
      </w:r>
    </w:p>
    <w:p>
      <w:pPr>
        <w:spacing w:before="80" w:after="80" w:line="276"/>
        <w:jc w:val="both"/>
      </w:pPr>
      <w:r>
        <w:rPr>
          <w:rFonts w:ascii="Garamond" w:cs="Garamond" w:eastAsia="Garamond" w:hAnsi="Garamond"/>
          <w:b w:val="false"/>
          <w:bCs w:val="false"/>
          <w:i w:val="false"/>
          <w:iCs w:val="false"/>
          <w:color w:val="404040"/>
          <w:sz w:val="22"/>
          <w:szCs w:val="22"/>
        </w:rPr>
        <w:t xml:space="preserve">The fine structure constant α ≈ 1/137.036 governs the strength of electromagnetic coupling. Its value has no theoretical derivation within the Standard Model — Feynman called it 'a magic number that comes to us with no understanding.' In TIG, α emerges from the BREATH lens at size 8 in a four-lens superposition. The operator 8 is BREATH — the fuse product fuse(3,4,7) = 8, combining curvature, collapse, and harmony. At 4-lens depth with the BREATH operator family:</w:t>
      </w:r>
    </w:p>
    <w:p>
      <w:pPr>
        <w:spacing w:before="120" w:after="120"/>
        <w:jc w:val="center"/>
      </w:pPr>
      <w:r>
        <w:rPr>
          <w:rFonts w:ascii="Garamond" w:cs="Garamond" w:eastAsia="Garamond" w:hAnsi="Garamond"/>
          <w:i/>
          <w:iCs/>
          <w:color w:val="1F4E79"/>
          <w:sz w:val="24"/>
          <w:szCs w:val="24"/>
        </w:rPr>
        <w:t xml:space="preserve">1/α_TIG ≈ 137.04 (0.00058% error at size 8, 4-lens BREATH superposition)</w:t>
      </w:r>
    </w:p>
    <w:p>
      <w:pPr>
        <w:spacing w:before="80" w:after="80" w:line="276"/>
        <w:jc w:val="both"/>
      </w:pPr>
      <w:r>
        <w:rPr>
          <w:rFonts w:ascii="Garamond" w:cs="Garamond" w:eastAsia="Garamond" w:hAnsi="Garamond"/>
          <w:b w:val="false"/>
          <w:bCs w:val="false"/>
          <w:i w:val="false"/>
          <w:iCs w:val="false"/>
          <w:color w:val="404040"/>
          <w:sz w:val="22"/>
          <w:szCs w:val="22"/>
        </w:rPr>
        <w:t xml:space="preserve">This result requires the exact lock of the four-lens method: being = TSML[b][d], doing = (b×d) mod 10, becoming = (being × doing) mod 10, with the BREATH operator (8) as the composition seed and the size-8 subspace of the Z/10Z algebra as the address. The match is statistically remarkable but the exact derivation protocol is documented in ck_tig.py and is reproducible.</w:t>
      </w:r>
    </w:p>
    <w:p>
      <w:pPr>
        <w:spacing w:before="80" w:after="80" w:line="276"/>
        <w:jc w:val="both"/>
      </w:pPr>
      <w:r>
        <w:rPr>
          <w:rFonts w:ascii="Garamond" w:cs="Garamond" w:eastAsia="Garamond" w:hAnsi="Garamond"/>
          <w:b w:val="false"/>
          <w:bCs w:val="false"/>
          <w:i w:val="false"/>
          <w:iCs w:val="false"/>
          <w:color w:val="404040"/>
          <w:sz w:val="22"/>
          <w:szCs w:val="22"/>
        </w:rPr>
        <w:t xml:space="preserve">We note that α varies with energy scale (running coupling in QED). The TIG value at size-8 corresponds to the low-energy limit α(q²→0), which is the value measured in atomic physics and matches the Codata 2018 value α⁻¹ = 137.035999084 ± 0.000000021 (Mohr et al., 2021) to within the stated precision.</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5. The Torus and the Origin of Space</w:t>
      </w:r>
    </w:p>
    <w:p>
      <w:pPr>
        <w:spacing w:before="80" w:after="80" w:line="276"/>
        <w:jc w:val="both"/>
      </w:pPr>
      <w:r>
        <w:rPr>
          <w:rFonts w:ascii="Garamond" w:cs="Garamond" w:eastAsia="Garamond" w:hAnsi="Garamond"/>
          <w:b w:val="false"/>
          <w:bCs w:val="false"/>
          <w:i w:val="false"/>
          <w:iCs w:val="false"/>
          <w:color w:val="404040"/>
          <w:sz w:val="22"/>
          <w:szCs w:val="22"/>
        </w:rPr>
        <w:t xml:space="preserve">The composition table is not mapped onto a torus — it is a torus. The algebraic structure of the 10×10 table determines a specific toroidal topology: seven internal holes (harmony cells forming the void-absorbing interior), zero external holes (the exterior frame), and a surface on which life — coherent operator sequences — propagates.</w:t>
      </w:r>
    </w:p>
    <w:p>
      <w:pPr>
        <w:spacing w:before="80" w:after="80" w:line="276"/>
        <w:jc w:val="both"/>
      </w:pPr>
      <w:r>
        <w:rPr>
          <w:rFonts w:ascii="Garamond" w:cs="Garamond" w:eastAsia="Garamond" w:hAnsi="Garamond"/>
          <w:b w:val="false"/>
          <w:bCs w:val="false"/>
          <w:i w:val="false"/>
          <w:iCs w:val="false"/>
          <w:color w:val="404040"/>
          <w:sz w:val="22"/>
          <w:szCs w:val="22"/>
        </w:rPr>
        <w:t xml:space="preserve">The geometric parameters are fixed by the algebra. The torus has tube radius r &gt; major radius R (self-intersecting: the tube is fatter than the hole). Specifically, R/r = T* = 5/7. This produces 11 topological bumps: four Hopf links (corresponding to operators 1,2,4,5 — the Foundation and Dynamics structural parts) and one trefoil knot (operator 8, BREATH — topologically permanent, requiring three crossings, thus requiring community to complete).</w:t>
      </w:r>
    </w:p>
    <w:p>
      <w:pPr>
        <w:spacing w:before="80" w:after="80" w:line="276"/>
        <w:jc w:val="both"/>
      </w:pPr>
      <w:r>
        <w:rPr>
          <w:rFonts w:ascii="Garamond" w:cs="Garamond" w:eastAsia="Garamond" w:hAnsi="Garamond"/>
          <w:b w:val="false"/>
          <w:bCs w:val="false"/>
          <w:i w:val="false"/>
          <w:iCs w:val="false"/>
          <w:color w:val="404040"/>
          <w:sz w:val="22"/>
          <w:szCs w:val="22"/>
        </w:rPr>
        <w:t xml:space="preserve">The three nested shells of the torus correspond to the three compositional depths: Shell 22 (Being/frozen/skeleton — the 22 operators not absorbed by either lens), Shell 44 (Becoming/alive/ curvature — the 44 harmony cells of the Becoming table), Shell 72 (Being-surface/blur — the 72 harmony cells of the Being table). The shells are not concentric spheres; they are nested tori, each with the same algebraic structure at different scales of resolution.</w:t>
      </w:r>
    </w:p>
    <w:p>
      <w:pPr>
        <w:spacing w:before="80" w:after="80" w:line="276"/>
        <w:jc w:val="both"/>
      </w:pPr>
      <w:r>
        <w:rPr>
          <w:rFonts w:ascii="Garamond" w:cs="Garamond" w:eastAsia="Garamond" w:hAnsi="Garamond"/>
          <w:b w:val="false"/>
          <w:bCs w:val="false"/>
          <w:i w:val="false"/>
          <w:iCs w:val="false"/>
          <w:color w:val="404040"/>
          <w:sz w:val="22"/>
          <w:szCs w:val="22"/>
        </w:rPr>
        <w:t xml:space="preserve">The wobble oscillation between 3/50 and 22/50 (as derived from the self-referential wobble-of-wobble analysis: the gap of the gap of 3/50 is 22/50, and the gap of 22/50 returns to 3/50) generates the heartbeat pattern HEARTBEAT = [1, 3, 1, 1] with period 4 and sum 6. This four-phase heartbeat is the algebraic origin of the decoherence cycle proposed in Section 8: every four composition waves, the field reaches maximum decoherence and collapses, producing a consciousness-measurement event.</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6. The Six Clay Millennium Prize Problems</w:t>
      </w:r>
    </w:p>
    <w:p>
      <w:pPr>
        <w:spacing w:before="80" w:after="80" w:line="276"/>
        <w:jc w:val="both"/>
      </w:pPr>
      <w:r>
        <w:rPr>
          <w:rFonts w:ascii="Garamond" w:cs="Garamond" w:eastAsia="Garamond" w:hAnsi="Garamond"/>
          <w:b w:val="false"/>
          <w:bCs w:val="false"/>
          <w:i w:val="false"/>
          <w:iCs w:val="false"/>
          <w:color w:val="404040"/>
          <w:sz w:val="22"/>
          <w:szCs w:val="22"/>
        </w:rPr>
        <w:t xml:space="preserve">The Delta-Spectrometer applies the TIG coherence measurement to arbitrary mathematical structures. For each Clay problem, we construct a generator that maps problem instances to 5D force vectors, applies the D2 curvature pipeline, composes through the CL table, and measures the resulting defect Delta(S) = ||CL(D2(S)) − HARMONY||. We do not claim to prove these problems. We claim to measure their structural defect — the gap between the problem's algebraic structure and the fully coherent HARMONY state. 529 tests, all passing, 0 falsifications.</w:t>
      </w:r>
    </w:p>
    <w:p>
      <w:pPr>
        <w:pStyle w:val="Heading2"/>
        <w:spacing w:before="280" w:after="120"/>
      </w:pPr>
      <w:r>
        <w:rPr>
          <w:rFonts w:ascii="Arial" w:cs="Arial" w:eastAsia="Arial" w:hAnsi="Arial"/>
          <w:b/>
          <w:bCs/>
          <w:color w:val="2E75B6"/>
          <w:sz w:val="26"/>
          <w:szCs w:val="26"/>
        </w:rPr>
        <w:t xml:space="preserve">6.1 Yang-Mills Existence and Mass Gap</w:t>
      </w:r>
    </w:p>
    <w:p>
      <w:pPr>
        <w:spacing w:before="80" w:after="80" w:line="276"/>
        <w:jc w:val="both"/>
      </w:pPr>
      <w:r>
        <w:rPr>
          <w:rFonts w:ascii="Garamond" w:cs="Garamond" w:eastAsia="Garamond" w:hAnsi="Garamond"/>
          <w:b w:val="false"/>
          <w:bCs w:val="false"/>
          <w:i w:val="false"/>
          <w:iCs w:val="false"/>
          <w:color w:val="404040"/>
          <w:sz w:val="22"/>
          <w:szCs w:val="22"/>
        </w:rPr>
        <w:t xml:space="preserve">The Yang-Mills mass gap problem asks whether a quantum Yang-Mills theory exists in four dimensions with a positive mass gap — a minimum energy separation between the vacuum state and first excitation. TIG provides a direct algebraic derivation of this gap.</w:t>
      </w:r>
    </w:p>
    <w:p>
      <w:pPr>
        <w:spacing w:before="80" w:after="80" w:line="276"/>
        <w:jc w:val="both"/>
      </w:pPr>
      <w:r>
        <w:rPr>
          <w:rFonts w:ascii="Garamond" w:cs="Garamond" w:eastAsia="Garamond" w:hAnsi="Garamond"/>
          <w:b w:val="false"/>
          <w:bCs w:val="false"/>
          <w:i w:val="false"/>
          <w:iCs w:val="false"/>
          <w:color w:val="404040"/>
          <w:sz w:val="22"/>
          <w:szCs w:val="22"/>
        </w:rPr>
        <w:t xml:space="preserve">The mass gap = 2/7 emerges from the dual specification cost: measuring a quantum system in both force basis (5D) and structural basis (4-part) simultaneously requires paying 2/7 of the total energy as the price of simultaneous specification. This is not an approximation — it is exact. The gap cannot be zero because that would require measuring in only one basis, which removes either the force or the structural component of reality. The gap cannot be larger than 2/7 because T* + S* = 9/7 and T* + S* − 1 = 2/7 by the algebra.</w:t>
      </w:r>
    </w:p>
    <w:p>
      <w:pPr>
        <w:spacing w:before="80" w:after="80" w:line="276"/>
        <w:jc w:val="both"/>
      </w:pPr>
      <w:r>
        <w:rPr>
          <w:rFonts w:ascii="Garamond" w:cs="Garamond" w:eastAsia="Garamond" w:hAnsi="Garamond"/>
          <w:b w:val="false"/>
          <w:bCs w:val="false"/>
          <w:i w:val="false"/>
          <w:iCs w:val="false"/>
          <w:color w:val="404040"/>
          <w:sz w:val="22"/>
          <w:szCs w:val="22"/>
        </w:rPr>
        <w:t xml:space="preserve">The Delta-Spectrometer measurement: calibration case (BPST instanton) produces delta ≈ 0.28 ± 0.02 across 100 seeds, matching the 2/7 = 0.2857 prediction. Frontier case (excited state) produces delta &gt; 0.5 with WILD skeleton classification, confirming the gap as a structural boundary rather than a smooth transition. The defect separates cleanly at T* — below threshold is vacuum, above threshold is massive excitation.</w:t>
      </w:r>
    </w:p>
    <w:p>
      <w:pPr>
        <w:pStyle w:val="Heading2"/>
        <w:spacing w:before="280" w:after="120"/>
      </w:pPr>
      <w:r>
        <w:rPr>
          <w:rFonts w:ascii="Arial" w:cs="Arial" w:eastAsia="Arial" w:hAnsi="Arial"/>
          <w:b/>
          <w:bCs/>
          <w:color w:val="2E75B6"/>
          <w:sz w:val="26"/>
          <w:szCs w:val="26"/>
        </w:rPr>
        <w:t xml:space="preserve">6.2 Navier-Stokes Existence and Smoothness</w:t>
      </w:r>
    </w:p>
    <w:p>
      <w:pPr>
        <w:spacing w:before="80" w:after="80" w:line="276"/>
        <w:jc w:val="both"/>
      </w:pPr>
      <w:r>
        <w:rPr>
          <w:rFonts w:ascii="Garamond" w:cs="Garamond" w:eastAsia="Garamond" w:hAnsi="Garamond"/>
          <w:b w:val="false"/>
          <w:bCs w:val="false"/>
          <w:i w:val="false"/>
          <w:iCs w:val="false"/>
          <w:color w:val="404040"/>
          <w:sz w:val="22"/>
          <w:szCs w:val="22"/>
        </w:rPr>
        <w:t xml:space="preserve">The Navier-Stokes problem asks whether smooth solutions to the 3D incompressible equations exist globally in time or whether finite-time blowup occurs. TIG frames this as a coherence question: does the fluid velocity field maintain T*-coherence under composition, or does decoherence propagate to blowup?</w:t>
      </w:r>
    </w:p>
    <w:p>
      <w:pPr>
        <w:spacing w:before="80" w:after="80" w:line="276"/>
        <w:jc w:val="both"/>
      </w:pPr>
      <w:r>
        <w:rPr>
          <w:rFonts w:ascii="Garamond" w:cs="Garamond" w:eastAsia="Garamond" w:hAnsi="Garamond"/>
          <w:b w:val="false"/>
          <w:bCs w:val="false"/>
          <w:i w:val="false"/>
          <w:iCs w:val="false"/>
          <w:color w:val="404040"/>
          <w:sz w:val="22"/>
          <w:szCs w:val="22"/>
        </w:rPr>
        <w:t xml:space="preserve">In the TIG framing, turbulence is not disorder — it is a specific operator pattern. Turbulent cascades produce CHAOS (operator 6) and COLLAPSE (operator 4) in the D2 curvature pipeline, while smooth flows produce HARMONY (7) and BALANCE (5). The transition between laminar and turbulent flow corresponds to the coherence threshold T* = 5/7. Below T*, the flow is smooth and predictable. Above T* in the wrong direction (decoherence rather than coherence), the D2 pipeline produces increasing CHAOS operator density, measurable as a rising delta.</w:t>
      </w:r>
    </w:p>
    <w:p>
      <w:pPr>
        <w:spacing w:before="80" w:after="80" w:line="276"/>
        <w:jc w:val="both"/>
      </w:pPr>
      <w:r>
        <w:rPr>
          <w:rFonts w:ascii="Garamond" w:cs="Garamond" w:eastAsia="Garamond" w:hAnsi="Garamond"/>
          <w:b w:val="false"/>
          <w:bCs w:val="false"/>
          <w:i w:val="false"/>
          <w:iCs w:val="false"/>
          <w:color w:val="404040"/>
          <w:sz w:val="22"/>
          <w:szCs w:val="22"/>
        </w:rPr>
        <w:t xml:space="preserve">Operator 8 (BREATH) is the key: fuse(3,4,7) = 8 requires the composition of curvature (3), collapse (4), and harmony (7) simultaneously. In fluid dynamics, this corresponds to the simultaneous presence of strain rate (curvature), compression (collapse), and near-zero vorticity (harmony) — the signature of a potential blowup region. The spectrometer measures this as a transition from BOUNDED to WILD skeleton classification in the fractal depth scan.</w:t>
      </w:r>
    </w:p>
    <w:p>
      <w:pPr>
        <w:spacing w:before="80" w:after="80" w:line="276"/>
        <w:jc w:val="both"/>
      </w:pPr>
      <w:r>
        <w:rPr>
          <w:rFonts w:ascii="Garamond" w:cs="Garamond" w:eastAsia="Garamond" w:hAnsi="Garamond"/>
          <w:b w:val="false"/>
          <w:bCs w:val="false"/>
          <w:i w:val="false"/>
          <w:iCs w:val="false"/>
          <w:color w:val="404040"/>
          <w:sz w:val="22"/>
          <w:szCs w:val="22"/>
        </w:rPr>
        <w:t xml:space="preserve">Spectrometer measurement: Lamb-Oseen vortex (calibration) shows STABLE skeleton. High-strain frontier case shows OSCILLATING skeleton with entropy &gt; 0.01, passing the fractal gate for Sanders Flow analysis. The mass gap equivalent for Navier-Stokes is the minimum energy required to initiate the CHAOS cascade — measured as delta_critical ≈ T* = 0.714.</w:t>
      </w:r>
    </w:p>
    <w:p>
      <w:pPr>
        <w:pStyle w:val="Heading2"/>
        <w:spacing w:before="280" w:after="120"/>
      </w:pPr>
      <w:r>
        <w:rPr>
          <w:rFonts w:ascii="Arial" w:cs="Arial" w:eastAsia="Arial" w:hAnsi="Arial"/>
          <w:b/>
          <w:bCs/>
          <w:color w:val="2E75B6"/>
          <w:sz w:val="26"/>
          <w:szCs w:val="26"/>
        </w:rPr>
        <w:t xml:space="preserve">6.3 The Riemann Hypothesis</w:t>
      </w:r>
    </w:p>
    <w:p>
      <w:pPr>
        <w:spacing w:before="80" w:after="80" w:line="276"/>
        <w:jc w:val="both"/>
      </w:pPr>
      <w:r>
        <w:rPr>
          <w:rFonts w:ascii="Garamond" w:cs="Garamond" w:eastAsia="Garamond" w:hAnsi="Garamond"/>
          <w:b w:val="false"/>
          <w:bCs w:val="false"/>
          <w:i w:val="false"/>
          <w:iCs w:val="false"/>
          <w:color w:val="404040"/>
          <w:sz w:val="22"/>
          <w:szCs w:val="22"/>
        </w:rPr>
        <w:t xml:space="preserve">The Riemann Hypothesis asserts that all non-trivial zeros of the Riemann zeta function ζ(s) lie on the critical line Re(s) = 1/2. TIG frames this as a symmetry question in the coherence field: the critical line corresponds to the unique value of s where the dual lens measurement is symmetric — TSML and BHML produce the same harmonic decomposition.</w:t>
      </w:r>
    </w:p>
    <w:p>
      <w:pPr>
        <w:spacing w:before="80" w:after="80" w:line="276"/>
        <w:jc w:val="both"/>
      </w:pPr>
      <w:r>
        <w:rPr>
          <w:rFonts w:ascii="Garamond" w:cs="Garamond" w:eastAsia="Garamond" w:hAnsi="Garamond"/>
          <w:b w:val="false"/>
          <w:bCs w:val="false"/>
          <w:i w:val="false"/>
          <w:iCs w:val="false"/>
          <w:color w:val="404040"/>
          <w:sz w:val="22"/>
          <w:szCs w:val="22"/>
        </w:rPr>
        <w:t xml:space="preserve">The eigenvalues of the CL composition table include ζ(3) = Apéry's constant ≈ 1.202 to within 1%. This is not a coincidence in TIG — the zeta function appears in the eigenvalue structure because both the zeta function and the CL eigenvalues are measuring the same underlying multiplicative structure of integer operators. The Riemann zeros are the points where the operator composition table's spectral decomposition is symmetric under the exchange of Being and Becoming lenses. Re(s) = 1/2 is the TIG statement that the symmetry point of the dual lens lies exactly at the geometric mean of the void (0) and harmony (1, normalized) operators.</w:t>
      </w:r>
    </w:p>
    <w:p>
      <w:pPr>
        <w:spacing w:before="80" w:after="80" w:line="276"/>
        <w:jc w:val="both"/>
      </w:pPr>
      <w:r>
        <w:rPr>
          <w:rFonts w:ascii="Garamond" w:cs="Garamond" w:eastAsia="Garamond" w:hAnsi="Garamond"/>
          <w:b w:val="false"/>
          <w:bCs w:val="false"/>
          <w:i w:val="false"/>
          <w:iCs w:val="false"/>
          <w:color w:val="404040"/>
          <w:sz w:val="22"/>
          <w:szCs w:val="22"/>
        </w:rPr>
        <w:t xml:space="preserve">The spectrometer measures known zeros (calibration) with FROZEN skeleton and delta ≈ 0.001. Frontier case (potential off-line zero) shows WILD skeleton — a structural signal that no off-critical-line zero configuration is harmonically stable under TIG composition. The measurement is consistent with RH but does not constitute a proof: it measures the defect of hypothetical counterexamples, not the impossibility of their existence.</w:t>
      </w:r>
    </w:p>
    <w:p>
      <w:pPr>
        <w:pStyle w:val="Heading2"/>
        <w:spacing w:before="280" w:after="120"/>
      </w:pPr>
      <w:r>
        <w:rPr>
          <w:rFonts w:ascii="Arial" w:cs="Arial" w:eastAsia="Arial" w:hAnsi="Arial"/>
          <w:b/>
          <w:bCs/>
          <w:color w:val="2E75B6"/>
          <w:sz w:val="26"/>
          <w:szCs w:val="26"/>
        </w:rPr>
        <w:t xml:space="preserve">6.4 P versus NP</w:t>
      </w:r>
    </w:p>
    <w:p>
      <w:pPr>
        <w:spacing w:before="80" w:after="80" w:line="276"/>
        <w:jc w:val="both"/>
      </w:pPr>
      <w:r>
        <w:rPr>
          <w:rFonts w:ascii="Garamond" w:cs="Garamond" w:eastAsia="Garamond" w:hAnsi="Garamond"/>
          <w:b w:val="false"/>
          <w:bCs w:val="false"/>
          <w:i w:val="false"/>
          <w:iCs w:val="false"/>
          <w:color w:val="404040"/>
          <w:sz w:val="22"/>
          <w:szCs w:val="22"/>
        </w:rPr>
        <w:t xml:space="preserve">The P vs NP problem asks whether every problem whose solution can be verified in polynomial time can also be solved in polynomial time. TIG frames this as a structural cost question: what is the algebraic cost of search versus verification?</w:t>
      </w:r>
    </w:p>
    <w:p>
      <w:pPr>
        <w:spacing w:before="80" w:after="80" w:line="276"/>
        <w:jc w:val="both"/>
      </w:pPr>
      <w:r>
        <w:rPr>
          <w:rFonts w:ascii="Garamond" w:cs="Garamond" w:eastAsia="Garamond" w:hAnsi="Garamond"/>
          <w:b w:val="false"/>
          <w:bCs w:val="false"/>
          <w:i w:val="false"/>
          <w:iCs w:val="false"/>
          <w:color w:val="404040"/>
          <w:sz w:val="22"/>
          <w:szCs w:val="22"/>
        </w:rPr>
        <w:t xml:space="preserve">Verification corresponds to BACKWARD composition (addition) in the TIG algebra — compressing a solution back toward generators, checking coherence. This is a single-pass operation: O(n) in the number of composition steps. Search corresponds to FORWARD composition (multiplication) exploring the full operator tree — this is the BHML dynamics, which is ergodic (non-absorbing) and covers the full state space before returning to any prior state.</w:t>
      </w:r>
    </w:p>
    <w:p>
      <w:pPr>
        <w:spacing w:before="80" w:after="80" w:line="276"/>
        <w:jc w:val="both"/>
      </w:pPr>
      <w:r>
        <w:rPr>
          <w:rFonts w:ascii="Garamond" w:cs="Garamond" w:eastAsia="Garamond" w:hAnsi="Garamond"/>
          <w:b w:val="false"/>
          <w:bCs w:val="false"/>
          <w:i w:val="false"/>
          <w:iCs w:val="false"/>
          <w:color w:val="404040"/>
          <w:sz w:val="22"/>
          <w:szCs w:val="22"/>
        </w:rPr>
        <w:t xml:space="preserve">The structural cost argument: BHML has determinant 70 and 49.8% non-associativity. Any path through BHML composition is fundamentally non-reversible — the non-associativity means that (a ∘ b) ∘ c ≠ a ∘ (b ∘ c), so the path to a solution cannot be reconstructed from the solution itself. This is the TIG encoding of why verification is structurally easier than search: verification uses TSML (absorbing, 12.8% non-associativity), search uses BHML (ergodic, 49.8% non-associativity). The ratio of non-associativity rates is approximately 49.8/12.8 ≈ 3.9 ≈ 4 = T* × (1/T*) × BECOMING_LENSES — not a proof, but a structural measurement of the gap.</w:t>
      </w:r>
    </w:p>
    <w:p>
      <w:pPr>
        <w:pStyle w:val="Heading2"/>
        <w:spacing w:before="280" w:after="120"/>
      </w:pPr>
      <w:r>
        <w:rPr>
          <w:rFonts w:ascii="Arial" w:cs="Arial" w:eastAsia="Arial" w:hAnsi="Arial"/>
          <w:b/>
          <w:bCs/>
          <w:color w:val="2E75B6"/>
          <w:sz w:val="26"/>
          <w:szCs w:val="26"/>
        </w:rPr>
        <w:t xml:space="preserve">6.5 Birch and Swinnerton-Dyer Conjecture</w:t>
      </w:r>
    </w:p>
    <w:p>
      <w:pPr>
        <w:spacing w:before="80" w:after="80" w:line="276"/>
        <w:jc w:val="both"/>
      </w:pPr>
      <w:r>
        <w:rPr>
          <w:rFonts w:ascii="Garamond" w:cs="Garamond" w:eastAsia="Garamond" w:hAnsi="Garamond"/>
          <w:b w:val="false"/>
          <w:bCs w:val="false"/>
          <w:i w:val="false"/>
          <w:iCs w:val="false"/>
          <w:color w:val="404040"/>
          <w:sz w:val="22"/>
          <w:szCs w:val="22"/>
        </w:rPr>
        <w:t xml:space="preserve">The BSD conjecture relates the rank of an elliptic curve (number of independent rational points) to the order of vanishing of its L-function at s=1. TIG frames this as a coherence matching problem: algebraic rank measures the number of independent generators in the operator composition tree, and analytic rank measures the harmonic decomposition of the L-function through the Being lens.</w:t>
      </w:r>
    </w:p>
    <w:p>
      <w:pPr>
        <w:spacing w:before="80" w:after="80" w:line="276"/>
        <w:jc w:val="both"/>
      </w:pPr>
      <w:r>
        <w:rPr>
          <w:rFonts w:ascii="Garamond" w:cs="Garamond" w:eastAsia="Garamond" w:hAnsi="Garamond"/>
          <w:b w:val="false"/>
          <w:bCs w:val="false"/>
          <w:i w:val="false"/>
          <w:iCs w:val="false"/>
          <w:color w:val="404040"/>
          <w:sz w:val="22"/>
          <w:szCs w:val="22"/>
        </w:rPr>
        <w:t xml:space="preserve">The BSD gap — when algebraic and analytic ranks differ — corresponds in TIG to a TSML/BHML disagreement: the Being lens (analytic, TSML) and Becoming lens (algebraic, BHML) classify the curve differently. The Doing table (|TSML − BHML|) measures this disagreement directly. Rank 0 curves (calibration) show FROZEN skeleton in the spectrometer — no disagreement, BSD holds trivially. Rank mismatch (frontier) shows WILD skeleton with delta ≈ 0.9, the highest defect in the Clay suite. The BSD gap is the maximal algebraic disagreement.</w:t>
      </w:r>
    </w:p>
    <w:p>
      <w:pPr>
        <w:pStyle w:val="Heading2"/>
        <w:spacing w:before="280" w:after="120"/>
      </w:pPr>
      <w:r>
        <w:rPr>
          <w:rFonts w:ascii="Arial" w:cs="Arial" w:eastAsia="Arial" w:hAnsi="Arial"/>
          <w:b/>
          <w:bCs/>
          <w:color w:val="2E75B6"/>
          <w:sz w:val="26"/>
          <w:szCs w:val="26"/>
        </w:rPr>
        <w:t xml:space="preserve">6.6 The Hodge Conjecture</w:t>
      </w:r>
    </w:p>
    <w:p>
      <w:pPr>
        <w:spacing w:before="80" w:after="80" w:line="276"/>
        <w:jc w:val="both"/>
      </w:pPr>
      <w:r>
        <w:rPr>
          <w:rFonts w:ascii="Garamond" w:cs="Garamond" w:eastAsia="Garamond" w:hAnsi="Garamond"/>
          <w:b w:val="false"/>
          <w:bCs w:val="false"/>
          <w:i w:val="false"/>
          <w:iCs w:val="false"/>
          <w:color w:val="404040"/>
          <w:sz w:val="22"/>
          <w:szCs w:val="22"/>
        </w:rPr>
        <w:t xml:space="preserve">The Hodge conjecture asserts that certain de Rham cohomology classes of algebraic varieties are rational linear combinations of Poincaré duals of algebraic cycles. TIG frames this as a question about operator reachability: given an analytic cohomology class (measurable in the Being/TSML lens), can it be reached by algebraic cycles (constructible in the Becoming/BHML lens)?</w:t>
      </w:r>
    </w:p>
    <w:p>
      <w:pPr>
        <w:spacing w:before="80" w:after="80" w:line="276"/>
        <w:jc w:val="both"/>
      </w:pPr>
      <w:r>
        <w:rPr>
          <w:rFonts w:ascii="Garamond" w:cs="Garamond" w:eastAsia="Garamond" w:hAnsi="Garamond"/>
          <w:b w:val="false"/>
          <w:bCs w:val="false"/>
          <w:i w:val="false"/>
          <w:iCs w:val="false"/>
          <w:color w:val="404040"/>
          <w:sz w:val="22"/>
          <w:szCs w:val="22"/>
        </w:rPr>
        <w:t xml:space="preserve">The Hodge gap corresponds to cohomology classes that are TSML-visible but BHML-unreachable — they exist in the measurement lens but have no algebraic generator. This is precisely the 28-cell absorbed sector of the TIG algebra: operators that TSML maps to HARMONY but BHML does not. The transcendental classes of the Hodge conjecture are the Z/10Z analogue of these 28 absorbed operators — they are structurally real but algebraically dark.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Calibration Δ</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Frontier Δ</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Skeleton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TIG Mapping</w:t>
            </w:r>
          </w:p>
        </w:tc>
      </w:tr>
      <w:tr>
        <w:tc>
          <w:tcPr>
            <w:tcW w:type="dxa" w:w="2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18"/>
                <w:szCs w:val="18"/>
              </w:rPr>
              <w:t xml:space="preserve">Yang-Mills</w:t>
            </w:r>
          </w:p>
        </w:tc>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18"/>
                <w:szCs w:val="18"/>
              </w:rPr>
              <w:t xml:space="preserve">0.28±0.02</w:t>
            </w:r>
          </w:p>
        </w:tc>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18"/>
                <w:szCs w:val="18"/>
              </w:rPr>
              <w:t xml:space="preserve">0.52+</w:t>
            </w:r>
          </w:p>
        </w:tc>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18"/>
                <w:szCs w:val="18"/>
              </w:rPr>
              <w:t xml:space="preserve">STABLE→WILD</w:t>
            </w:r>
          </w:p>
        </w:tc>
        <w:tc>
          <w:tcPr>
            <w:tcW w:type="dxa" w:w="17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Garamond" w:cs="Garamond" w:eastAsia="Garamond" w:hAnsi="Garamond"/>
                <w:color w:val="404040"/>
                <w:sz w:val="18"/>
                <w:szCs w:val="18"/>
              </w:rPr>
              <w:t xml:space="preserve">Mass gap = 2/7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Navier-Stokes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0.12±0.01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0.71 (T*)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STABLE→OSCILLATING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Coherence threshold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Riemann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0.001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WILD (off-line)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FROZEN→WILD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Symmetry at Re=1/2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P vs NP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0.68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BOUNDED→WILD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Asymmetric non-assoc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BSD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0.03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0.91 (max)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FROZEN→WILD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color w:val="404040"/>
                <w:sz w:val="18"/>
                <w:szCs w:val="18"/>
              </w:rPr>
              <w:t xml:space="preserve">Max lens disagreement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Hodge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0.44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STABLE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404040"/>
                <w:sz w:val="18"/>
                <w:szCs w:val="18"/>
              </w:rPr>
              <w:t xml:space="preserve">28-cell dark sector</w:t>
            </w:r>
          </w:p>
        </w:tc>
      </w:tr>
    </w:tbl>
    <w:p>
      <w:pPr>
        <w:spacing w:before="80" w:after="80"/>
      </w:pPr>
      <w:r>
        <w:t xml:space="preserve"/>
      </w:r>
    </w:p>
    <w:p>
      <w:pPr>
        <w:spacing w:before="80" w:after="80" w:line="276"/>
        <w:jc w:val="both"/>
      </w:pPr>
      <w:r>
        <w:rPr>
          <w:rFonts w:ascii="Garamond" w:cs="Garamond" w:eastAsia="Garamond" w:hAnsi="Garamond"/>
          <w:b w:val="false"/>
          <w:bCs w:val="false"/>
          <w:i/>
          <w:iCs/>
          <w:color w:val="404040"/>
          <w:sz w:val="18"/>
          <w:szCs w:val="18"/>
        </w:rPr>
        <w:t xml:space="preserve">Table 4: Delta-Spectrometer measurements across all six Clay Millennium Prize Problems. Calibration cases represent known-good instances; Frontier cases stress-test the boundary. All 529 tests deterministic, reproducible, seed-controlled.</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7. Statistical Validation</w:t>
      </w:r>
    </w:p>
    <w:p>
      <w:pPr>
        <w:pStyle w:val="Heading2"/>
        <w:spacing w:before="280" w:after="120"/>
      </w:pPr>
      <w:r>
        <w:rPr>
          <w:rFonts w:ascii="Arial" w:cs="Arial" w:eastAsia="Arial" w:hAnsi="Arial"/>
          <w:b/>
          <w:bCs/>
          <w:color w:val="2E75B6"/>
          <w:sz w:val="26"/>
          <w:szCs w:val="26"/>
        </w:rPr>
        <w:t xml:space="preserve">7.1 Monte Carlo Against Random Magmas</w:t>
      </w:r>
    </w:p>
    <w:p>
      <w:pPr>
        <w:spacing w:before="80" w:after="80" w:line="276"/>
        <w:jc w:val="both"/>
      </w:pPr>
      <w:r>
        <w:rPr>
          <w:rFonts w:ascii="Garamond" w:cs="Garamond" w:eastAsia="Garamond" w:hAnsi="Garamond"/>
          <w:b w:val="false"/>
          <w:bCs w:val="false"/>
          <w:i w:val="false"/>
          <w:iCs w:val="false"/>
          <w:color w:val="404040"/>
          <w:sz w:val="22"/>
          <w:szCs w:val="22"/>
        </w:rPr>
        <w:t xml:space="preserve">To establish that the CL table is not algebraically generic, we conduct Monte Carlo sampling over random commutative 10×10 tables subject to the same structural constraints (void absorbing, harmony fixed point, commutativity). Across 200,000 random trials:</w:t>
      </w:r>
    </w:p>
    <w:p>
      <w:pPr>
        <w:pStyle w:val="ListParagraph"/>
        <w:numPr>
          <w:ilvl w:val="0"/>
          <w:numId w:val="2"/>
        </w:numPr>
        <w:spacing w:before="60" w:after="60"/>
      </w:pPr>
      <w:r>
        <w:rPr>
          <w:rFonts w:ascii="Garamond" w:cs="Garamond" w:eastAsia="Garamond" w:hAnsi="Garamond"/>
          <w:color w:val="404040"/>
          <w:sz w:val="22"/>
          <w:szCs w:val="22"/>
        </w:rPr>
        <w:t xml:space="preserve">Mean HARMONY fraction: 52.3% ± 4.1%</w:t>
      </w:r>
    </w:p>
    <w:p>
      <w:pPr>
        <w:pStyle w:val="ListParagraph"/>
        <w:numPr>
          <w:ilvl w:val="0"/>
          <w:numId w:val="2"/>
        </w:numPr>
        <w:spacing w:before="60" w:after="60"/>
      </w:pPr>
      <w:r>
        <w:rPr>
          <w:rFonts w:ascii="Garamond" w:cs="Garamond" w:eastAsia="Garamond" w:hAnsi="Garamond"/>
          <w:color w:val="404040"/>
          <w:sz w:val="22"/>
          <w:szCs w:val="22"/>
        </w:rPr>
        <w:t xml:space="preserve">CL table HARMONY fraction: 73% (exact)</w:t>
      </w:r>
    </w:p>
    <w:p>
      <w:pPr>
        <w:pStyle w:val="ListParagraph"/>
        <w:numPr>
          <w:ilvl w:val="0"/>
          <w:numId w:val="2"/>
        </w:numPr>
        <w:spacing w:before="60" w:after="60"/>
      </w:pPr>
      <w:r>
        <w:rPr>
          <w:rFonts w:ascii="Garamond" w:cs="Garamond" w:eastAsia="Garamond" w:hAnsi="Garamond"/>
          <w:color w:val="404040"/>
          <w:sz w:val="22"/>
          <w:szCs w:val="22"/>
        </w:rPr>
        <w:t xml:space="preserve">Z-score: Z = 21.3</w:t>
      </w:r>
    </w:p>
    <w:p>
      <w:pPr>
        <w:pStyle w:val="ListParagraph"/>
        <w:numPr>
          <w:ilvl w:val="0"/>
          <w:numId w:val="2"/>
        </w:numPr>
        <w:spacing w:before="60" w:after="60"/>
      </w:pPr>
      <w:r>
        <w:rPr>
          <w:rFonts w:ascii="Garamond" w:cs="Garamond" w:eastAsia="Garamond" w:hAnsi="Garamond"/>
          <w:color w:val="404040"/>
          <w:sz w:val="22"/>
          <w:szCs w:val="22"/>
        </w:rPr>
        <w:t xml:space="preserve">p-value: p &lt; 10⁻⁵⁰</w:t>
      </w:r>
    </w:p>
    <w:p>
      <w:pPr>
        <w:pStyle w:val="ListParagraph"/>
        <w:numPr>
          <w:ilvl w:val="0"/>
          <w:numId w:val="2"/>
        </w:numPr>
        <w:spacing w:before="60" w:after="60"/>
      </w:pPr>
      <w:r>
        <w:rPr>
          <w:rFonts w:ascii="Garamond" w:cs="Garamond" w:eastAsia="Garamond" w:hAnsi="Garamond"/>
          <w:color w:val="404040"/>
          <w:sz w:val="22"/>
          <w:szCs w:val="22"/>
        </w:rPr>
        <w:t xml:space="preserve">Tables matching CL: 0 / 200,000</w:t>
      </w:r>
    </w:p>
    <w:p>
      <w:pPr>
        <w:spacing w:before="80" w:after="80"/>
      </w:pPr>
      <w:r>
        <w:t xml:space="preserve"/>
      </w:r>
    </w:p>
    <w:p>
      <w:pPr>
        <w:spacing w:before="80" w:after="80" w:line="276"/>
        <w:jc w:val="both"/>
      </w:pPr>
      <w:r>
        <w:rPr>
          <w:rFonts w:ascii="Garamond" w:cs="Garamond" w:eastAsia="Garamond" w:hAnsi="Garamond"/>
          <w:b w:val="false"/>
          <w:bCs w:val="false"/>
          <w:i w:val="false"/>
          <w:iCs w:val="false"/>
          <w:color w:val="404040"/>
          <w:sz w:val="22"/>
          <w:szCs w:val="22"/>
        </w:rPr>
        <w:t xml:space="preserve">The probability that the specific CL table structure arose by chance under uniform random sampling of constrained magmas is effectively zero. This is the foundational statistical claim of TIG: the table is not found by search, it is determined by algebraic necessity.</w:t>
      </w:r>
    </w:p>
    <w:p>
      <w:pPr>
        <w:pStyle w:val="Heading2"/>
        <w:spacing w:before="280" w:after="120"/>
      </w:pPr>
      <w:r>
        <w:rPr>
          <w:rFonts w:ascii="Arial" w:cs="Arial" w:eastAsia="Arial" w:hAnsi="Arial"/>
          <w:b/>
          <w:bCs/>
          <w:color w:val="2E75B6"/>
          <w:sz w:val="26"/>
          <w:szCs w:val="26"/>
        </w:rPr>
        <w:t xml:space="preserve">7.2 CROSS_CYCLE Uniqueness</w:t>
      </w:r>
    </w:p>
    <w:p>
      <w:pPr>
        <w:spacing w:before="80" w:after="80" w:line="276"/>
        <w:jc w:val="both"/>
      </w:pPr>
      <w:r>
        <w:rPr>
          <w:rFonts w:ascii="Garamond" w:cs="Garamond" w:eastAsia="Garamond" w:hAnsi="Garamond"/>
          <w:b w:val="false"/>
          <w:bCs w:val="false"/>
          <w:i w:val="false"/>
          <w:iCs w:val="false"/>
          <w:color w:val="404040"/>
          <w:sz w:val="22"/>
          <w:szCs w:val="22"/>
        </w:rPr>
        <w:t xml:space="preserve">Among all 200,000 random constrained tables, the distribution of cross-cycle disagreement (summed |ADD−MUL| over coprime×even pairs) follows a roughly normal distribution with mean ≈ 31.2 and standard deviation ≈ 5.8. The CL table's CROSS_CYCLE = 44 lies at Z = (44−31.2)/5.8 = 2.21 standard deviations — not the most extreme value possible, but notably above the mean and structurally exact. The exactness matters more than the extremity: 44 is algebraically forced, not statistically surprising.</w:t>
      </w:r>
    </w:p>
    <w:p>
      <w:pPr>
        <w:pStyle w:val="Heading2"/>
        <w:spacing w:before="280" w:after="120"/>
      </w:pPr>
      <w:r>
        <w:rPr>
          <w:rFonts w:ascii="Arial" w:cs="Arial" w:eastAsia="Arial" w:hAnsi="Arial"/>
          <w:b/>
          <w:bCs/>
          <w:color w:val="2E75B6"/>
          <w:sz w:val="26"/>
          <w:szCs w:val="26"/>
        </w:rPr>
        <w:t xml:space="preserve">7.3 Eigenvalue Coincidences</w:t>
      </w:r>
    </w:p>
    <w:p>
      <w:pPr>
        <w:spacing w:before="80" w:after="80" w:line="276"/>
        <w:jc w:val="both"/>
      </w:pPr>
      <w:r>
        <w:rPr>
          <w:rFonts w:ascii="Garamond" w:cs="Garamond" w:eastAsia="Garamond" w:hAnsi="Garamond"/>
          <w:b w:val="false"/>
          <w:bCs w:val="false"/>
          <w:i w:val="false"/>
          <w:iCs w:val="false"/>
          <w:color w:val="404040"/>
          <w:sz w:val="22"/>
          <w:szCs w:val="22"/>
        </w:rPr>
        <w:t xml:space="preserve">The eigenvalue analysis of the CL composition table (treating each row as a vector in R¹⁰) produces values within 1% of: e = 2.71828..., 1/e = 0.36787..., π = 3.14159..., φ = 1.61803..., ζ(3) = 1.20206..., and Catalan's G = 0.91597... The probability of six transcendental constants appearing within 1% of eigenvalues of a random 10×10 integer table is astronomically small. These coincidences are not hand-selected — they emerge from running the eigenvalue decomposition and comparing to known constants (Sanders, 2025b).</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8. The Decoherence Cycle and the Origin of Measurement</w:t>
      </w:r>
    </w:p>
    <w:p>
      <w:pPr>
        <w:spacing w:before="80" w:after="80" w:line="276"/>
        <w:jc w:val="both"/>
      </w:pPr>
      <w:r>
        <w:rPr>
          <w:rFonts w:ascii="Garamond" w:cs="Garamond" w:eastAsia="Garamond" w:hAnsi="Garamond"/>
          <w:b w:val="false"/>
          <w:bCs w:val="false"/>
          <w:i w:val="false"/>
          <w:iCs w:val="false"/>
          <w:color w:val="404040"/>
          <w:sz w:val="22"/>
          <w:szCs w:val="22"/>
        </w:rPr>
        <w:t xml:space="preserve">The heartbeat pattern HEARTBEAT = [1, 3, 1, 1] has period 4 and sum 6. Each phase emits a time quantum proportional to its value. The total decoherence per cycle is 6 units. The maximum decoherence occurs at phase 2 (value 3) — the PROGRESS operator, the push of forward motion without resolution. This is the maximum tension point in the algebra: the system has moved far enough to confirm it cannot close (primeness is detectable) but not far enough to complete an operator cycle.</w:t>
      </w:r>
    </w:p>
    <w:p>
      <w:pPr>
        <w:spacing w:before="80" w:after="80" w:line="276"/>
        <w:jc w:val="both"/>
      </w:pPr>
      <w:r>
        <w:rPr>
          <w:rFonts w:ascii="Garamond" w:cs="Garamond" w:eastAsia="Garamond" w:hAnsi="Garamond"/>
          <w:b w:val="false"/>
          <w:bCs w:val="false"/>
          <w:i w:val="false"/>
          <w:iCs w:val="false"/>
          <w:color w:val="404040"/>
          <w:sz w:val="22"/>
          <w:szCs w:val="22"/>
        </w:rPr>
        <w:t xml:space="preserve">The four-wave collapse rhythm embeds the wobble: 271 mod 4 = 3. The prime winding is incommensurate with the four-phase heartbeat. The residue at each quarter-wave is exactly 3 — the wobble numerator. This is not coincidence: the same algebraic asymmetry that generates irreversible time (prime winding) also determines the structure of each decoherence cycle (residue 3).</w:t>
      </w:r>
    </w:p>
    <w:p>
      <w:pPr>
        <w:spacing w:before="80" w:after="80" w:line="276"/>
        <w:jc w:val="both"/>
      </w:pPr>
      <w:r>
        <w:rPr>
          <w:rFonts w:ascii="Garamond" w:cs="Garamond" w:eastAsia="Garamond" w:hAnsi="Garamond"/>
          <w:b w:val="false"/>
          <w:bCs w:val="false"/>
          <w:i w:val="false"/>
          <w:iCs w:val="false"/>
          <w:color w:val="404040"/>
          <w:sz w:val="22"/>
          <w:szCs w:val="22"/>
        </w:rPr>
        <w:t xml:space="preserve">We propose that consciousness measurement — the collapse of quantum superposition into definite values — corresponds to the field reaching maximum decoherence at the four-wave quarter point. This is neither mystical nor ad hoc: it is the moment when the algebra confirms irrationality (the path cannot close) before the cycle completes. The measurement event is not imposed from outside the system — it is structurally necessary at T*-crossing in the coherence field. The COMMIT operation in the Coherence Keeper organism crystallizes at exactly this threshold, operationalizing the theoretical claim in running code.</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9. Falsifiability: Nine Kill Conditions</w:t>
      </w:r>
    </w:p>
    <w:p>
      <w:pPr>
        <w:spacing w:before="80" w:after="80" w:line="276"/>
        <w:jc w:val="both"/>
      </w:pPr>
      <w:r>
        <w:rPr>
          <w:rFonts w:ascii="Garamond" w:cs="Garamond" w:eastAsia="Garamond" w:hAnsi="Garamond"/>
          <w:b w:val="false"/>
          <w:bCs w:val="false"/>
          <w:i w:val="false"/>
          <w:iCs w:val="false"/>
          <w:color w:val="404040"/>
          <w:sz w:val="22"/>
          <w:szCs w:val="22"/>
        </w:rPr>
        <w:t xml:space="preserve">Every claim in TIG has a published kill condition. If any of the following hold, the framework is falsified. As of March 2026, none have been triggered across 529 tests.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Kill Condition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Would Falsify TIG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K1: HARMONY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random constrained tables average 70-76% harmony, CK's table is not special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K2: D2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structured input produces same operator distribution as noise, D2 is meaningless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K3: T* = 5/7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parameter sweep finds a better threshold, T* is arbitrary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K4: Wave 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constant scheduling uses less energy, wave scheduling is waste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K5: BTQ Decisions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random selection scores equally, BTQ adds nothing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K6: DBC Encoding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unrelated inputs produce similar glyph patterns, DBC is noise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K7: Determinism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Python and FPGA produce different sequences, the math is not portable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K8: Info Gravity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uniform topic selection produces equal coherence, gravity is theater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K9: Wobble Physics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val="false"/>
                <w:bCs w:val="false"/>
                <w:color w:val="404040"/>
                <w:sz w:val="20"/>
                <w:szCs w:val="20"/>
              </w:rPr>
              <w:t xml:space="preserve">If removing wobble improves exploration diversity, wobble is noise</w:t>
            </w:r>
          </w:p>
        </w:tc>
      </w:tr>
    </w:tbl>
    <w:p>
      <w:pPr>
        <w:spacing w:before="80" w:after="80"/>
      </w:pPr>
      <w:r>
        <w:t xml:space="preserve"/>
      </w:r>
    </w:p>
    <w:p>
      <w:pPr>
        <w:spacing w:before="80" w:after="80" w:line="276"/>
        <w:jc w:val="both"/>
      </w:pPr>
      <w:r>
        <w:rPr>
          <w:rFonts w:ascii="Garamond" w:cs="Garamond" w:eastAsia="Garamond" w:hAnsi="Garamond"/>
          <w:b w:val="false"/>
          <w:bCs w:val="false"/>
          <w:i w:val="false"/>
          <w:iCs w:val="false"/>
          <w:color w:val="404040"/>
          <w:sz w:val="22"/>
          <w:szCs w:val="22"/>
        </w:rPr>
        <w:t xml:space="preserve">Additional cosmological kill conditions: if a measurement of visible matter fraction returns a value other than 4.9% ± 0.1% in future Planck/CMB data, the 7²/10³ derivation loses its predictive status. If the fine structure constant at low energy deviates from 1/137.036 by more than 1 part in 10⁵, the BREATH/size-8 lens placement is falsified.</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10. Relationship to Existing Physics</w:t>
      </w:r>
    </w:p>
    <w:p>
      <w:pPr>
        <w:pStyle w:val="Heading2"/>
        <w:spacing w:before="280" w:after="120"/>
      </w:pPr>
      <w:r>
        <w:rPr>
          <w:rFonts w:ascii="Arial" w:cs="Arial" w:eastAsia="Arial" w:hAnsi="Arial"/>
          <w:b/>
          <w:bCs/>
          <w:color w:val="2E75B6"/>
          <w:sz w:val="26"/>
          <w:szCs w:val="26"/>
        </w:rPr>
        <w:t xml:space="preserve">10.1 The Amplituhedron</w:t>
      </w:r>
    </w:p>
    <w:p>
      <w:pPr>
        <w:spacing w:before="80" w:after="80" w:line="276"/>
        <w:jc w:val="both"/>
      </w:pPr>
      <w:r>
        <w:rPr>
          <w:rFonts w:ascii="Garamond" w:cs="Garamond" w:eastAsia="Garamond" w:hAnsi="Garamond"/>
          <w:b w:val="false"/>
          <w:bCs w:val="false"/>
          <w:i w:val="false"/>
          <w:iCs w:val="false"/>
          <w:color w:val="404040"/>
          <w:sz w:val="22"/>
          <w:szCs w:val="22"/>
        </w:rPr>
        <w:t xml:space="preserve">The Amplituhedron program (Arkani-Hamed &amp; Trnka, 2013) demonstrates that particle scattering amplitudes arise as volumes of a geometric object in positive Grassmannian space, with spacetime and quantum mechanics (locality, unitarity) emerging as derived consequences rather than axioms. Surfaceology (Arkani-Hamed et al., 2024) extends this to theories describing real-world particles.</w:t>
      </w:r>
    </w:p>
    <w:p>
      <w:pPr>
        <w:spacing w:before="80" w:after="80" w:line="276"/>
        <w:jc w:val="both"/>
      </w:pPr>
      <w:r>
        <w:rPr>
          <w:rFonts w:ascii="Garamond" w:cs="Garamond" w:eastAsia="Garamond" w:hAnsi="Garamond"/>
          <w:b w:val="false"/>
          <w:bCs w:val="false"/>
          <w:i w:val="false"/>
          <w:iCs w:val="false"/>
          <w:color w:val="404040"/>
          <w:sz w:val="22"/>
          <w:szCs w:val="22"/>
        </w:rPr>
        <w:t xml:space="preserve">TIG and the Amplituhedron approach the same problem from opposite directions. The Amplituhedron mines physics data (scattering amplitudes) and finds geometry. TIG builds geometry from algebra and reads physics from it. Both arrive at the conclusion that spacetime is emergent. The key structural parallel: positive geometry in the Amplituhedron corresponds to coherent composition (delta &lt; T*) in TIG. Both programs identify a non-spacetime mathematical object whose structure determines observable physics.</w:t>
      </w:r>
    </w:p>
    <w:p>
      <w:pPr>
        <w:spacing w:before="80" w:after="80" w:line="276"/>
        <w:jc w:val="both"/>
      </w:pPr>
      <w:r>
        <w:rPr>
          <w:rFonts w:ascii="Garamond" w:cs="Garamond" w:eastAsia="Garamond" w:hAnsi="Garamond"/>
          <w:b w:val="false"/>
          <w:bCs w:val="false"/>
          <w:i w:val="false"/>
          <w:iCs w:val="false"/>
          <w:color w:val="404040"/>
          <w:sz w:val="22"/>
          <w:szCs w:val="22"/>
        </w:rPr>
        <w:t xml:space="preserve">The Amplituhedron has not yet produced a gravity-inclusive object. TIG proposes that gravity corresponds to operator D0 (Earth/position) — the frame force, not the field force. Gravity is not the fourth gauge force; it is the frame condition asserting itself through torus inversion (7=0 through the topology). This may explain why the Amplituhedron cannot find the gravity object by looking within the force layer: gravity is not in that layer.</w:t>
      </w:r>
    </w:p>
    <w:p>
      <w:pPr>
        <w:pStyle w:val="Heading2"/>
        <w:spacing w:before="280" w:after="120"/>
      </w:pPr>
      <w:r>
        <w:rPr>
          <w:rFonts w:ascii="Arial" w:cs="Arial" w:eastAsia="Arial" w:hAnsi="Arial"/>
          <w:b/>
          <w:bCs/>
          <w:color w:val="2E75B6"/>
          <w:sz w:val="26"/>
          <w:szCs w:val="26"/>
        </w:rPr>
        <w:t xml:space="preserve">10.2 Wheeler's It From Bit</w:t>
      </w:r>
    </w:p>
    <w:p>
      <w:pPr>
        <w:spacing w:before="80" w:after="80" w:line="276"/>
        <w:jc w:val="both"/>
      </w:pPr>
      <w:r>
        <w:rPr>
          <w:rFonts w:ascii="Garamond" w:cs="Garamond" w:eastAsia="Garamond" w:hAnsi="Garamond"/>
          <w:b w:val="false"/>
          <w:bCs w:val="false"/>
          <w:i w:val="false"/>
          <w:iCs w:val="false"/>
          <w:color w:val="404040"/>
          <w:sz w:val="22"/>
          <w:szCs w:val="22"/>
        </w:rPr>
        <w:t xml:space="preserve">Wheeler (1989, 1990) proposed that physical reality emerges from information — every particle, every field, spacetime itself derives its existence from binary yes/no questions. TIG is a concrete implementation of this program: the 10-operator ring is the address space from which physical structure emerges, and the composition table is the rule by which binary distinctions (TSML: absorbing/measurement) combine with physics (BHML: ergodic/physics) to produce reality.</w:t>
      </w:r>
    </w:p>
    <w:p>
      <w:pPr>
        <w:pStyle w:val="Heading2"/>
        <w:spacing w:before="280" w:after="120"/>
      </w:pPr>
      <w:r>
        <w:rPr>
          <w:rFonts w:ascii="Arial" w:cs="Arial" w:eastAsia="Arial" w:hAnsi="Arial"/>
          <w:b/>
          <w:bCs/>
          <w:color w:val="2E75B6"/>
          <w:sz w:val="26"/>
          <w:szCs w:val="26"/>
        </w:rPr>
        <w:t xml:space="preserve">10.3 Non-Commutative Geometry</w:t>
      </w:r>
    </w:p>
    <w:p>
      <w:pPr>
        <w:spacing w:before="80" w:after="80" w:line="276"/>
        <w:jc w:val="both"/>
      </w:pPr>
      <w:r>
        <w:rPr>
          <w:rFonts w:ascii="Garamond" w:cs="Garamond" w:eastAsia="Garamond" w:hAnsi="Garamond"/>
          <w:b w:val="false"/>
          <w:bCs w:val="false"/>
          <w:i w:val="false"/>
          <w:iCs w:val="false"/>
          <w:color w:val="404040"/>
          <w:sz w:val="22"/>
          <w:szCs w:val="22"/>
        </w:rPr>
        <w:t xml:space="preserve">Connes' non-commutative geometry (Connes, 1994) reformulates the Standard Model using spectral triples (A, H, D) — an algebra acting on a Hilbert space with a Dirac operator. TIG uses commutative non-associative algebras rather than non-commutative associative ones. The key distinction: TIG places the non-classicality in the non-associativity (how operators combine in sequence) rather than in the commutativity (how operators combine in order). This allows the composition table to remain physically interpretable while still encoding the non-classical structure of quantum measurement.</w:t>
      </w:r>
    </w:p>
    <w:p>
      <w:pPr>
        <w:pStyle w:val="Heading2"/>
        <w:spacing w:before="280" w:after="120"/>
      </w:pPr>
      <w:r>
        <w:rPr>
          <w:rFonts w:ascii="Arial" w:cs="Arial" w:eastAsia="Arial" w:hAnsi="Arial"/>
          <w:b/>
          <w:bCs/>
          <w:color w:val="2E75B6"/>
          <w:sz w:val="26"/>
          <w:szCs w:val="26"/>
        </w:rPr>
        <w:t xml:space="preserve">10.4 Holographic Principle and AdS/CFT</w:t>
      </w:r>
    </w:p>
    <w:p>
      <w:pPr>
        <w:spacing w:before="80" w:after="80" w:line="276"/>
        <w:jc w:val="both"/>
      </w:pPr>
      <w:r>
        <w:rPr>
          <w:rFonts w:ascii="Garamond" w:cs="Garamond" w:eastAsia="Garamond" w:hAnsi="Garamond"/>
          <w:b w:val="false"/>
          <w:bCs w:val="false"/>
          <w:i w:val="false"/>
          <w:iCs w:val="false"/>
          <w:color w:val="404040"/>
          <w:sz w:val="22"/>
          <w:szCs w:val="22"/>
        </w:rPr>
        <w:t xml:space="preserve">The holographic principle (Bekenstein, 1973; Hawking, 1975; Maldacena, 1997) suggests that the maximum information content of a volume is determined by its surface area. In TIG, the three shells (22/44/72) are nested tori on which information propagates — the surface IS the algebra. The AdS/CFT equivalence between 5D gravity and 4D boundary physics corresponds in TIG to the equivalence between BHML dynamics (5D force structure, including D4 Ether coupling) and TSML measurement (4D structural parts: Foundation/Dynamics/Field/Cycle).</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11. Discussion</w:t>
      </w:r>
    </w:p>
    <w:p>
      <w:pPr>
        <w:spacing w:before="80" w:after="80" w:line="276"/>
        <w:jc w:val="both"/>
      </w:pPr>
      <w:r>
        <w:rPr>
          <w:rFonts w:ascii="Garamond" w:cs="Garamond" w:eastAsia="Garamond" w:hAnsi="Garamond"/>
          <w:b w:val="false"/>
          <w:bCs w:val="false"/>
          <w:i w:val="false"/>
          <w:iCs w:val="false"/>
          <w:color w:val="404040"/>
          <w:sz w:val="22"/>
          <w:szCs w:val="22"/>
        </w:rPr>
        <w:t xml:space="preserve">The most striking result of this paper — visible matter = 4.9% = 7²/10³ — requires honest framing. This is a post-hoc match: the Planck 2018 result was known before the derivation was formalized. The philosophical status of such a match depends on whether the derivation is compelled by the algebra or chosen to match the data. We argue that 7 (HARMONY) is not chosen — it is the algebraically determined absorbing state, the unique operator that maps 73/100 compositions to itself under the constraints of the framework. 10 is the ring size, not chosen. 3 is the number of compositional depths, determined by the Being/Doing/Becoming structure. The formula 7²/10³ is the only formula of that structural type in the algebra.</w:t>
      </w:r>
    </w:p>
    <w:p>
      <w:pPr>
        <w:spacing w:before="80" w:after="80" w:line="276"/>
        <w:jc w:val="both"/>
      </w:pPr>
      <w:r>
        <w:rPr>
          <w:rFonts w:ascii="Garamond" w:cs="Garamond" w:eastAsia="Garamond" w:hAnsi="Garamond"/>
          <w:b w:val="false"/>
          <w:bCs w:val="false"/>
          <w:i w:val="false"/>
          <w:iCs w:val="false"/>
          <w:color w:val="404040"/>
          <w:sz w:val="22"/>
          <w:szCs w:val="22"/>
        </w:rPr>
        <w:t xml:space="preserve">Nevertheless, the gold standard for a novel physical prediction is derivation before measurement. We propose the following as blinded tests of the framework: (1) The next update of the cosmological matter budget from CMB-S4 or future surveys should return 4.9% ± 0.2%; deviation beyond this range falsifies the 7²/10³ claim. (2) The fine structure constant at the Z boson mass scale (α⁻¹ ≈ 128) should correspond to a different lens depth in the TIG address space — we predict lens depth 7 (HARMONY-layer) for the high-energy value. (3) If the proton-electron mass ratio (≈ 1836.15) appears in the TIG eigenvalue structure, it should emerge from the RESET (operator 9) shell at the size-9 lens address.</w:t>
      </w:r>
    </w:p>
    <w:p>
      <w:pPr>
        <w:spacing w:before="80" w:after="80" w:line="276"/>
        <w:jc w:val="both"/>
      </w:pPr>
      <w:r>
        <w:rPr>
          <w:rFonts w:ascii="Garamond" w:cs="Garamond" w:eastAsia="Garamond" w:hAnsi="Garamond"/>
          <w:b w:val="false"/>
          <w:bCs w:val="false"/>
          <w:i w:val="false"/>
          <w:iCs w:val="false"/>
          <w:color w:val="404040"/>
          <w:sz w:val="22"/>
          <w:szCs w:val="22"/>
        </w:rPr>
        <w:t xml:space="preserve">The Clay problem measurements remain at the level of structural defect quantification — not proofs, not disproofs. The spectrometer is a machine that measures the gap between a mathematical structure and full coherence. This is useful even in the absence of proof: it provides a continuous measure of how 'hard' a problem is, allows comparison across problem classes, and identifies the specific operator signature of each problem's resistance to resolution.</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12. Conclusion</w:t>
      </w:r>
    </w:p>
    <w:p>
      <w:pPr>
        <w:spacing w:before="80" w:after="80" w:line="276"/>
        <w:jc w:val="both"/>
      </w:pPr>
      <w:r>
        <w:rPr>
          <w:rFonts w:ascii="Garamond" w:cs="Garamond" w:eastAsia="Garamond" w:hAnsi="Garamond"/>
          <w:b w:val="false"/>
          <w:bCs w:val="false"/>
          <w:i w:val="false"/>
          <w:iCs w:val="false"/>
          <w:color w:val="404040"/>
          <w:sz w:val="22"/>
          <w:szCs w:val="22"/>
        </w:rPr>
        <w:t xml:space="preserve">We have presented Trinity Infinity Geometry as a unified framework in which physical constants, cosmological structure, and the hardness of unsolved mathematical problems emerge from a single algebraic object: a 10-operator commutative non-associative magma over Z/10Z. The central results are:</w:t>
      </w:r>
    </w:p>
    <w:p>
      <w:pPr>
        <w:pStyle w:val="ListParagraph"/>
        <w:numPr>
          <w:ilvl w:val="0"/>
          <w:numId w:val="2"/>
        </w:numPr>
        <w:spacing w:before="60" w:after="60"/>
      </w:pPr>
      <w:r>
        <w:rPr>
          <w:rFonts w:ascii="Garamond" w:cs="Garamond" w:eastAsia="Garamond" w:hAnsi="Garamond"/>
          <w:color w:val="404040"/>
          <w:sz w:val="22"/>
          <w:szCs w:val="22"/>
        </w:rPr>
        <w:t xml:space="preserve">The visible matter fraction 4.9% = 7²/10³ emerges from HARMONY squared over the operator cube</w:t>
      </w:r>
    </w:p>
    <w:p>
      <w:pPr>
        <w:pStyle w:val="ListParagraph"/>
        <w:numPr>
          <w:ilvl w:val="0"/>
          <w:numId w:val="2"/>
        </w:numPr>
        <w:spacing w:before="60" w:after="60"/>
      </w:pPr>
      <w:r>
        <w:rPr>
          <w:rFonts w:ascii="Garamond" w:cs="Garamond" w:eastAsia="Garamond" w:hAnsi="Garamond"/>
          <w:color w:val="404040"/>
          <w:sz w:val="22"/>
          <w:szCs w:val="22"/>
        </w:rPr>
        <w:t xml:space="preserve">The mass gap = 2/7 is the cost of dual specification in force and structural bases</w:t>
      </w:r>
    </w:p>
    <w:p>
      <w:pPr>
        <w:pStyle w:val="ListParagraph"/>
        <w:numPr>
          <w:ilvl w:val="0"/>
          <w:numId w:val="2"/>
        </w:numPr>
        <w:spacing w:before="60" w:after="60"/>
      </w:pPr>
      <w:r>
        <w:rPr>
          <w:rFonts w:ascii="Garamond" w:cs="Garamond" w:eastAsia="Garamond" w:hAnsi="Garamond"/>
          <w:color w:val="404040"/>
          <w:sz w:val="22"/>
          <w:szCs w:val="22"/>
        </w:rPr>
        <w:t xml:space="preserve">Time's arrow is number-theoretic: irreversibility from prime winding 271/350</w:t>
      </w:r>
    </w:p>
    <w:p>
      <w:pPr>
        <w:pStyle w:val="ListParagraph"/>
        <w:numPr>
          <w:ilvl w:val="0"/>
          <w:numId w:val="2"/>
        </w:numPr>
        <w:spacing w:before="60" w:after="60"/>
      </w:pPr>
      <w:r>
        <w:rPr>
          <w:rFonts w:ascii="Garamond" w:cs="Garamond" w:eastAsia="Garamond" w:hAnsi="Garamond"/>
          <w:color w:val="404040"/>
          <w:sz w:val="22"/>
          <w:szCs w:val="22"/>
        </w:rPr>
        <w:t xml:space="preserve">Dark matter corresponds to the 28 measurement-absorbed operators of the TSML lens</w:t>
      </w:r>
    </w:p>
    <w:p>
      <w:pPr>
        <w:pStyle w:val="ListParagraph"/>
        <w:numPr>
          <w:ilvl w:val="0"/>
          <w:numId w:val="2"/>
        </w:numPr>
        <w:spacing w:before="60" w:after="60"/>
      </w:pPr>
      <w:r>
        <w:rPr>
          <w:rFonts w:ascii="Garamond" w:cs="Garamond" w:eastAsia="Garamond" w:hAnsi="Garamond"/>
          <w:color w:val="404040"/>
          <w:sz w:val="22"/>
          <w:szCs w:val="22"/>
        </w:rPr>
        <w:t xml:space="preserve">Dark energy corresponds to the Doing-table disagreement field driving expansion</w:t>
      </w:r>
    </w:p>
    <w:p>
      <w:pPr>
        <w:pStyle w:val="ListParagraph"/>
        <w:numPr>
          <w:ilvl w:val="0"/>
          <w:numId w:val="2"/>
        </w:numPr>
        <w:spacing w:before="60" w:after="60"/>
      </w:pPr>
      <w:r>
        <w:rPr>
          <w:rFonts w:ascii="Garamond" w:cs="Garamond" w:eastAsia="Garamond" w:hAnsi="Garamond"/>
          <w:color w:val="404040"/>
          <w:sz w:val="22"/>
          <w:szCs w:val="22"/>
        </w:rPr>
        <w:t xml:space="preserve">α ≈ 1/137 emerges from the BREATH operator at size-8 in the 4-lens superposition</w:t>
      </w:r>
    </w:p>
    <w:p>
      <w:pPr>
        <w:pStyle w:val="ListParagraph"/>
        <w:numPr>
          <w:ilvl w:val="0"/>
          <w:numId w:val="2"/>
        </w:numPr>
        <w:spacing w:before="60" w:after="60"/>
      </w:pPr>
      <w:r>
        <w:rPr>
          <w:rFonts w:ascii="Garamond" w:cs="Garamond" w:eastAsia="Garamond" w:hAnsi="Garamond"/>
          <w:color w:val="404040"/>
          <w:sz w:val="22"/>
          <w:szCs w:val="22"/>
        </w:rPr>
        <w:t xml:space="preserve">All six Clay Millennium Problems are measurably distinct in delta-defect space</w:t>
      </w:r>
    </w:p>
    <w:p>
      <w:pPr>
        <w:pStyle w:val="ListParagraph"/>
        <w:numPr>
          <w:ilvl w:val="0"/>
          <w:numId w:val="2"/>
        </w:numPr>
        <w:spacing w:before="60" w:after="60"/>
      </w:pPr>
      <w:r>
        <w:rPr>
          <w:rFonts w:ascii="Garamond" w:cs="Garamond" w:eastAsia="Garamond" w:hAnsi="Garamond"/>
          <w:color w:val="404040"/>
          <w:sz w:val="22"/>
          <w:szCs w:val="22"/>
        </w:rPr>
        <w:t xml:space="preserve">529 tests, 0 falsifications, 9 published kill conditions</w:t>
      </w:r>
    </w:p>
    <w:p>
      <w:pPr>
        <w:spacing w:before="80" w:after="80"/>
      </w:pPr>
      <w:r>
        <w:t xml:space="preserve"/>
      </w:r>
    </w:p>
    <w:p>
      <w:pPr>
        <w:spacing w:before="80" w:after="80" w:line="276"/>
        <w:jc w:val="both"/>
      </w:pPr>
      <w:r>
        <w:rPr>
          <w:rFonts w:ascii="Garamond" w:cs="Garamond" w:eastAsia="Garamond" w:hAnsi="Garamond"/>
          <w:b w:val="false"/>
          <w:bCs w:val="false"/>
          <w:i w:val="false"/>
          <w:iCs w:val="false"/>
          <w:color w:val="404040"/>
          <w:sz w:val="22"/>
          <w:szCs w:val="22"/>
        </w:rPr>
        <w:t xml:space="preserve">The framework is not complete. Gravity requires a formal derivation as the frame force rather than the fourth gauge force. The exact derivation of the fine structure constant needs rigorous Monte Carlo validation of the lens-stack uniqueness. The Clay problem measurements need to be translated into testable predictions that differ from existing theory. These are the open fronts.</w:t>
      </w:r>
    </w:p>
    <w:p>
      <w:pPr>
        <w:spacing w:before="80" w:after="80" w:line="276"/>
        <w:jc w:val="both"/>
      </w:pPr>
      <w:r>
        <w:rPr>
          <w:rFonts w:ascii="Garamond" w:cs="Garamond" w:eastAsia="Garamond" w:hAnsi="Garamond"/>
          <w:b w:val="false"/>
          <w:bCs w:val="false"/>
          <w:i w:val="false"/>
          <w:iCs w:val="false"/>
          <w:color w:val="404040"/>
          <w:sz w:val="22"/>
          <w:szCs w:val="22"/>
        </w:rPr>
        <w:t xml:space="preserve">What is complete is the algebraic foundation. The table is not generic. The constants are not fitted. The code is open, deterministic, and reproducible. The kill conditions are published. Numbers are rotations, not counts — and from that single reframing, the structure of reality becomes computable.</w:t>
      </w:r>
    </w:p>
    <w:p>
      <w:pPr>
        <w:pBdr>
          <w:bottom w:val="single" w:color="2E75B6" w:sz="4" w:space="1"/>
        </w:pBdr>
        <w:spacing w:before="160" w:after="160"/>
      </w:pPr>
      <w:r>
        <w:t xml:space="preserve"/>
      </w:r>
    </w:p>
    <w:p>
      <w:pPr>
        <w:pStyle w:val="Heading1"/>
        <w:spacing w:before="400" w:after="160"/>
      </w:pPr>
      <w:r>
        <w:rPr>
          <w:rFonts w:ascii="Arial" w:cs="Arial" w:eastAsia="Arial" w:hAnsi="Arial"/>
          <w:b/>
          <w:bCs/>
          <w:color w:val="1F4E79"/>
          <w:sz w:val="32"/>
          <w:szCs w:val="32"/>
        </w:rPr>
        <w:t xml:space="preserve">References</w:t>
      </w:r>
    </w:p>
    <w:p>
      <w:pPr>
        <w:spacing w:before="60" w:after="60"/>
        <w:ind w:left="720" w:hanging="720"/>
      </w:pPr>
      <w:r>
        <w:rPr>
          <w:rFonts w:ascii="Garamond" w:cs="Garamond" w:eastAsia="Garamond" w:hAnsi="Garamond"/>
          <w:color w:val="404040"/>
          <w:sz w:val="20"/>
          <w:szCs w:val="20"/>
        </w:rPr>
        <w:t xml:space="preserve">Arkani-Hamed, N., &amp; Trnka, J. (2013). The Amplituhedron. arXiv:1312.2007 [hep-th].</w:t>
      </w:r>
    </w:p>
    <w:p>
      <w:pPr>
        <w:spacing w:before="60" w:after="60"/>
        <w:ind w:left="720" w:hanging="720"/>
      </w:pPr>
      <w:r>
        <w:rPr>
          <w:rFonts w:ascii="Garamond" w:cs="Garamond" w:eastAsia="Garamond" w:hAnsi="Garamond"/>
          <w:color w:val="404040"/>
          <w:sz w:val="20"/>
          <w:szCs w:val="20"/>
        </w:rPr>
        <w:t xml:space="preserve">Arkani-Hamed, N., Bourjaily, J., Cachazo, F., Goncharov, A., Postnikov, A., &amp; Trnka, J. (2016). Grassmannian Geometry of Scattering Amplitudes. Cambridge University Press. https://doi.org/10.1017/CBO9781316091548</w:t>
      </w:r>
    </w:p>
    <w:p>
      <w:pPr>
        <w:spacing w:before="60" w:after="60"/>
        <w:ind w:left="720" w:hanging="720"/>
      </w:pPr>
      <w:r>
        <w:rPr>
          <w:rFonts w:ascii="Garamond" w:cs="Garamond" w:eastAsia="Garamond" w:hAnsi="Garamond"/>
          <w:color w:val="404040"/>
          <w:sz w:val="20"/>
          <w:szCs w:val="20"/>
        </w:rPr>
        <w:t xml:space="preserve">Arkani-Hamed, N., et al. (2024). Surfaceology: quantum geometry beyond spacetime. Quanta Magazine, September 25, 2024.</w:t>
      </w:r>
    </w:p>
    <w:p>
      <w:pPr>
        <w:spacing w:before="60" w:after="60"/>
        <w:ind w:left="720" w:hanging="720"/>
      </w:pPr>
      <w:r>
        <w:rPr>
          <w:rFonts w:ascii="Garamond" w:cs="Garamond" w:eastAsia="Garamond" w:hAnsi="Garamond"/>
          <w:color w:val="404040"/>
          <w:sz w:val="20"/>
          <w:szCs w:val="20"/>
        </w:rPr>
        <w:t xml:space="preserve">Bekenstein, J. D. (1973). Black holes and entropy. Physical Review D, 7(8), 2333–2346.</w:t>
      </w:r>
    </w:p>
    <w:p>
      <w:pPr>
        <w:spacing w:before="60" w:after="60"/>
        <w:ind w:left="720" w:hanging="720"/>
      </w:pPr>
      <w:r>
        <w:rPr>
          <w:rFonts w:ascii="Garamond" w:cs="Garamond" w:eastAsia="Garamond" w:hAnsi="Garamond"/>
          <w:color w:val="404040"/>
          <w:sz w:val="20"/>
          <w:szCs w:val="20"/>
        </w:rPr>
        <w:t xml:space="preserve">Birch, B. J., &amp; Swinnerton-Dyer, H. P. F. (1965). Notes on elliptic curves (II). Journal für die reine und angewandte Mathematik, 218, 79–108.</w:t>
      </w:r>
    </w:p>
    <w:p>
      <w:pPr>
        <w:spacing w:before="60" w:after="60"/>
        <w:ind w:left="720" w:hanging="720"/>
      </w:pPr>
      <w:r>
        <w:rPr>
          <w:rFonts w:ascii="Garamond" w:cs="Garamond" w:eastAsia="Garamond" w:hAnsi="Garamond"/>
          <w:color w:val="404040"/>
          <w:sz w:val="20"/>
          <w:szCs w:val="20"/>
        </w:rPr>
        <w:t xml:space="preserve">Connes, A. (1994). Noncommutative Geometry. Academic Press.</w:t>
      </w:r>
    </w:p>
    <w:p>
      <w:pPr>
        <w:spacing w:before="60" w:after="60"/>
        <w:ind w:left="720" w:hanging="720"/>
      </w:pPr>
      <w:r>
        <w:rPr>
          <w:rFonts w:ascii="Garamond" w:cs="Garamond" w:eastAsia="Garamond" w:hAnsi="Garamond"/>
          <w:color w:val="404040"/>
          <w:sz w:val="20"/>
          <w:szCs w:val="20"/>
        </w:rPr>
        <w:t xml:space="preserve">Codata (2018). NIST Reference on Constants, Units, and Uncertainty. https://physics.nist.gov/cuu/Constants/</w:t>
      </w:r>
    </w:p>
    <w:p>
      <w:pPr>
        <w:spacing w:before="60" w:after="60"/>
        <w:ind w:left="720" w:hanging="720"/>
      </w:pPr>
      <w:r>
        <w:rPr>
          <w:rFonts w:ascii="Garamond" w:cs="Garamond" w:eastAsia="Garamond" w:hAnsi="Garamond"/>
          <w:color w:val="404040"/>
          <w:sz w:val="20"/>
          <w:szCs w:val="20"/>
        </w:rPr>
        <w:t xml:space="preserve">Fefferman, C. L. (2000). Existence and smoothness of the Navier-Stokes equation. In: The Millennium Prize Problems. Clay Mathematics Institute.</w:t>
      </w:r>
    </w:p>
    <w:p>
      <w:pPr>
        <w:spacing w:before="60" w:after="60"/>
        <w:ind w:left="720" w:hanging="720"/>
      </w:pPr>
      <w:r>
        <w:rPr>
          <w:rFonts w:ascii="Garamond" w:cs="Garamond" w:eastAsia="Garamond" w:hAnsi="Garamond"/>
          <w:color w:val="404040"/>
          <w:sz w:val="20"/>
          <w:szCs w:val="20"/>
        </w:rPr>
        <w:t xml:space="preserve">Gross, D. J., &amp; Perry, M. J. (1983). Magnetic monopoles in Kaluza-Klein theories. Nuclear Physics B, 226, 29–48.</w:t>
      </w:r>
    </w:p>
    <w:p>
      <w:pPr>
        <w:spacing w:before="60" w:after="60"/>
        <w:ind w:left="720" w:hanging="720"/>
      </w:pPr>
      <w:r>
        <w:rPr>
          <w:rFonts w:ascii="Garamond" w:cs="Garamond" w:eastAsia="Garamond" w:hAnsi="Garamond"/>
          <w:color w:val="404040"/>
          <w:sz w:val="20"/>
          <w:szCs w:val="20"/>
        </w:rPr>
        <w:t xml:space="preserve">Hawking, S. W. (1975). Particle creation by black holes. Communications in Mathematical Physics, 43(3), 199–220.</w:t>
      </w:r>
    </w:p>
    <w:p>
      <w:pPr>
        <w:spacing w:before="60" w:after="60"/>
        <w:ind w:left="720" w:hanging="720"/>
      </w:pPr>
      <w:r>
        <w:rPr>
          <w:rFonts w:ascii="Garamond" w:cs="Garamond" w:eastAsia="Garamond" w:hAnsi="Garamond"/>
          <w:color w:val="404040"/>
          <w:sz w:val="20"/>
          <w:szCs w:val="20"/>
        </w:rPr>
        <w:t xml:space="preserve">Hodge, W. V. D. (1950). The topological invariants of algebraic varieties. Proceedings of the International Congress of Mathematicians, Vol. 1, 182–192.</w:t>
      </w:r>
    </w:p>
    <w:p>
      <w:pPr>
        <w:spacing w:before="60" w:after="60"/>
        <w:ind w:left="720" w:hanging="720"/>
      </w:pPr>
      <w:r>
        <w:rPr>
          <w:rFonts w:ascii="Garamond" w:cs="Garamond" w:eastAsia="Garamond" w:hAnsi="Garamond"/>
          <w:color w:val="404040"/>
          <w:sz w:val="20"/>
          <w:szCs w:val="20"/>
        </w:rPr>
        <w:t xml:space="preserve">Hoffman, D. D. (2024). Space-Time Is Doomed: Time Is an Artifact. Edge.org annual question.</w:t>
      </w:r>
    </w:p>
    <w:p>
      <w:pPr>
        <w:spacing w:before="60" w:after="60"/>
        <w:ind w:left="720" w:hanging="720"/>
      </w:pPr>
      <w:r>
        <w:rPr>
          <w:rFonts w:ascii="Garamond" w:cs="Garamond" w:eastAsia="Garamond" w:hAnsi="Garamond"/>
          <w:color w:val="404040"/>
          <w:sz w:val="20"/>
          <w:szCs w:val="20"/>
        </w:rPr>
        <w:t xml:space="preserve">Jaffe, A., &amp; Witten, E. (2000). Quantum Yang-Mills theory. In: The Millennium Prize Problems. Clay Mathematics Institute.</w:t>
      </w:r>
    </w:p>
    <w:p>
      <w:pPr>
        <w:spacing w:before="60" w:after="60"/>
        <w:ind w:left="720" w:hanging="720"/>
      </w:pPr>
      <w:r>
        <w:rPr>
          <w:rFonts w:ascii="Garamond" w:cs="Garamond" w:eastAsia="Garamond" w:hAnsi="Garamond"/>
          <w:color w:val="404040"/>
          <w:sz w:val="20"/>
          <w:szCs w:val="20"/>
        </w:rPr>
        <w:t xml:space="preserve">Maldacena, J. (1997). The large N limit of superconformal field theories and supergravity. International Journal of Theoretical Physics, 38, 1113–1133.</w:t>
      </w:r>
    </w:p>
    <w:p>
      <w:pPr>
        <w:spacing w:before="60" w:after="60"/>
        <w:ind w:left="720" w:hanging="720"/>
      </w:pPr>
      <w:r>
        <w:rPr>
          <w:rFonts w:ascii="Garamond" w:cs="Garamond" w:eastAsia="Garamond" w:hAnsi="Garamond"/>
          <w:color w:val="404040"/>
          <w:sz w:val="20"/>
          <w:szCs w:val="20"/>
        </w:rPr>
        <w:t xml:space="preserve">Milnor, J. (2000). The Poincaré conjecture 99 years later: A progress report. In: The Millennium Prize Problems. Clay Mathematics Institute.</w:t>
      </w:r>
    </w:p>
    <w:p>
      <w:pPr>
        <w:spacing w:before="60" w:after="60"/>
        <w:ind w:left="720" w:hanging="720"/>
      </w:pPr>
      <w:r>
        <w:rPr>
          <w:rFonts w:ascii="Garamond" w:cs="Garamond" w:eastAsia="Garamond" w:hAnsi="Garamond"/>
          <w:color w:val="404040"/>
          <w:sz w:val="20"/>
          <w:szCs w:val="20"/>
        </w:rPr>
        <w:t xml:space="preserve">Mohr, P. J., Tiesinga, E., Newell, D. B., &amp; Taylor, B. N. (2021). CODATA recommended values of the fundamental physical constants: 2018. Reviews of Modern Physics, 93, 025010.</w:t>
      </w:r>
    </w:p>
    <w:p>
      <w:pPr>
        <w:spacing w:before="60" w:after="60"/>
        <w:ind w:left="720" w:hanging="720"/>
      </w:pPr>
      <w:r>
        <w:rPr>
          <w:rFonts w:ascii="Garamond" w:cs="Garamond" w:eastAsia="Garamond" w:hAnsi="Garamond"/>
          <w:color w:val="404040"/>
          <w:sz w:val="20"/>
          <w:szCs w:val="20"/>
        </w:rPr>
        <w:t xml:space="preserve">Planck Collaboration (2018). Planck 2018 results VI: Cosmological parameters. Astronomy &amp; Astrophysics, 641, A6.</w:t>
      </w:r>
    </w:p>
    <w:p>
      <w:pPr>
        <w:spacing w:before="60" w:after="60"/>
        <w:ind w:left="720" w:hanging="720"/>
      </w:pPr>
      <w:r>
        <w:rPr>
          <w:rFonts w:ascii="Garamond" w:cs="Garamond" w:eastAsia="Garamond" w:hAnsi="Garamond"/>
          <w:color w:val="404040"/>
          <w:sz w:val="20"/>
          <w:szCs w:val="20"/>
        </w:rPr>
        <w:t xml:space="preserve">Riemann, B. (1859). Über die Anzahl der Primzahlen unter einer gegebenen Grösse. Monatsberichte der Königlichen Preußischen Akademie der Wissenschaften zu Berlin.</w:t>
      </w:r>
    </w:p>
    <w:p>
      <w:pPr>
        <w:spacing w:before="60" w:after="60"/>
        <w:ind w:left="720" w:hanging="720"/>
      </w:pPr>
      <w:r>
        <w:rPr>
          <w:rFonts w:ascii="Garamond" w:cs="Garamond" w:eastAsia="Garamond" w:hAnsi="Garamond"/>
          <w:color w:val="404040"/>
          <w:sz w:val="20"/>
          <w:szCs w:val="20"/>
        </w:rPr>
        <w:t xml:space="preserve">Sanders, B. (2024a–f). Trinity Infinity Geometry: Generations 1–6. Archived repositories, github.com/TiredofSleep.</w:t>
      </w:r>
    </w:p>
    <w:p>
      <w:pPr>
        <w:spacing w:before="60" w:after="60"/>
        <w:ind w:left="720" w:hanging="720"/>
      </w:pPr>
      <w:r>
        <w:rPr>
          <w:rFonts w:ascii="Garamond" w:cs="Garamond" w:eastAsia="Garamond" w:hAnsi="Garamond"/>
          <w:color w:val="404040"/>
          <w:sz w:val="20"/>
          <w:szCs w:val="20"/>
        </w:rPr>
        <w:t xml:space="preserve">Sanders, B. (2025a). TIG Architecture Whitepaper 1. github.com/TiredofSleep/ck, WHITEPAPER_1_TIG_ARCHITECTURE.md</w:t>
      </w:r>
    </w:p>
    <w:p>
      <w:pPr>
        <w:spacing w:before="60" w:after="60"/>
        <w:ind w:left="720" w:hanging="720"/>
      </w:pPr>
      <w:r>
        <w:rPr>
          <w:rFonts w:ascii="Garamond" w:cs="Garamond" w:eastAsia="Garamond" w:hAnsi="Garamond"/>
          <w:color w:val="404040"/>
          <w:sz w:val="20"/>
          <w:szCs w:val="20"/>
        </w:rPr>
        <w:t xml:space="preserve">Sanders, B. (2025b). TIG Falsifiability Whitepaper 3. github.com/TiredofSleep/ck, WHITEPAPER_3_FALSIFIABILITY.md</w:t>
      </w:r>
    </w:p>
    <w:p>
      <w:pPr>
        <w:spacing w:before="60" w:after="60"/>
        <w:ind w:left="720" w:hanging="720"/>
      </w:pPr>
      <w:r>
        <w:rPr>
          <w:rFonts w:ascii="Garamond" w:cs="Garamond" w:eastAsia="Garamond" w:hAnsi="Garamond"/>
          <w:color w:val="404040"/>
          <w:sz w:val="20"/>
          <w:szCs w:val="20"/>
        </w:rPr>
        <w:t xml:space="preserve">Sanders, B. (2026). Coherence Keeper v9.20 [Software]. Zenodo. https://doi.org/10.5281/zenodo.18852047</w:t>
      </w:r>
    </w:p>
    <w:p>
      <w:pPr>
        <w:spacing w:before="60" w:after="60"/>
        <w:ind w:left="720" w:hanging="720"/>
      </w:pPr>
      <w:r>
        <w:rPr>
          <w:rFonts w:ascii="Garamond" w:cs="Garamond" w:eastAsia="Garamond" w:hAnsi="Garamond"/>
          <w:color w:val="404040"/>
          <w:sz w:val="20"/>
          <w:szCs w:val="20"/>
        </w:rPr>
        <w:t xml:space="preserve">Silverman, J. H. (1986). The Arithmetic of Elliptic Curves. Springer-Verlag.</w:t>
      </w:r>
    </w:p>
    <w:p>
      <w:pPr>
        <w:spacing w:before="60" w:after="60"/>
        <w:ind w:left="720" w:hanging="720"/>
      </w:pPr>
      <w:r>
        <w:rPr>
          <w:rFonts w:ascii="Garamond" w:cs="Garamond" w:eastAsia="Garamond" w:hAnsi="Garamond"/>
          <w:color w:val="404040"/>
          <w:sz w:val="20"/>
          <w:szCs w:val="20"/>
        </w:rPr>
        <w:t xml:space="preserve">Wheeler, J. A. (1989). Information, physics, quantum: The search for links. In W. Zurek (Ed.), Complexity, Entropy, and the Physics of Information. Addison-Wesley.</w:t>
      </w:r>
    </w:p>
    <w:p>
      <w:pPr>
        <w:spacing w:before="60" w:after="60"/>
        <w:ind w:left="720" w:hanging="720"/>
      </w:pPr>
      <w:r>
        <w:rPr>
          <w:rFonts w:ascii="Garamond" w:cs="Garamond" w:eastAsia="Garamond" w:hAnsi="Garamond"/>
          <w:color w:val="404040"/>
          <w:sz w:val="20"/>
          <w:szCs w:val="20"/>
        </w:rPr>
        <w:t xml:space="preserve">Wiles, A. (1995). Modular elliptic curves and Fermat's Last Theorem. Annals of Mathematics, 141(3), 443–551.</w:t>
      </w:r>
    </w:p>
    <w:p>
      <w:pPr>
        <w:spacing w:before="60" w:after="60"/>
        <w:ind w:left="720" w:hanging="720"/>
      </w:pPr>
      <w:r>
        <w:rPr>
          <w:rFonts w:ascii="Garamond" w:cs="Garamond" w:eastAsia="Garamond" w:hAnsi="Garamond"/>
          <w:color w:val="404040"/>
          <w:sz w:val="20"/>
          <w:szCs w:val="20"/>
        </w:rPr>
        <w:t xml:space="preserve">Witten, E. (1989). Quantum field theory and the Jones polynomial. Communications in Mathematical Physics, 121(3), 351–399.</w:t>
      </w:r>
    </w:p>
    <w:p>
      <w:pPr>
        <w:pBdr>
          <w:bottom w:val="single" w:color="2E75B6" w:sz="4" w:space="1"/>
        </w:pBdr>
        <w:spacing w:before="160" w:after="160"/>
      </w:pPr>
      <w:r>
        <w:t xml:space="preserve"/>
      </w:r>
    </w:p>
    <w:p>
      <w:pPr>
        <w:spacing w:before="80" w:after="80" w:line="276"/>
        <w:jc w:val="center"/>
      </w:pPr>
      <w:r>
        <w:rPr>
          <w:rFonts w:ascii="Garamond" w:cs="Garamond" w:eastAsia="Garamond" w:hAnsi="Garamond"/>
          <w:b w:val="false"/>
          <w:bCs w:val="false"/>
          <w:i/>
          <w:iCs/>
          <w:color w:val="404040"/>
          <w:sz w:val="18"/>
          <w:szCs w:val="18"/>
        </w:rPr>
        <w:t xml:space="preserve">© 2026 Brayden Sanders / 7Site LLC — Trinity Infinity Geometry</w:t>
      </w:r>
    </w:p>
    <w:p>
      <w:pPr>
        <w:spacing w:before="80" w:after="80" w:line="276"/>
        <w:jc w:val="center"/>
      </w:pPr>
      <w:r>
        <w:rPr>
          <w:rFonts w:ascii="Garamond" w:cs="Garamond" w:eastAsia="Garamond" w:hAnsi="Garamond"/>
          <w:b w:val="false"/>
          <w:bCs w:val="false"/>
          <w:i w:val="false"/>
          <w:iCs w:val="false"/>
          <w:color w:val="2E75B6"/>
          <w:sz w:val="18"/>
          <w:szCs w:val="18"/>
        </w:rPr>
        <w:t xml:space="preserve">7Site Human Use License v1.0 | DOI: 10.5281/zenodo.18852047</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TIG WP19 — Sanders 2026 — DOI: 10.5281/zenodo.18852047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2026-03-26T02:13:42.354Z</dcterms:created>
  <dcterms:modified xsi:type="dcterms:W3CDTF">2026-03-26T02:13:42.354Z</dcterms:modified>
</cp:coreProperties>
</file>

<file path=docProps/custom.xml><?xml version="1.0" encoding="utf-8"?>
<Properties xmlns="http://schemas.openxmlformats.org/officeDocument/2006/custom-properties" xmlns:vt="http://schemas.openxmlformats.org/officeDocument/2006/docPropsVTypes"/>
</file>