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CRYSTAL BUG v1.0</w:t>
      </w:r>
    </w:p>
    <w:p>
      <w:pPr>
        <w:spacing w:after="40"/>
      </w:pPr>
      <w:r>
        <w:rPr>
          <w:rFonts w:ascii="Arial" w:cs="Arial" w:eastAsia="Arial" w:hAnsi="Arial"/>
          <w:color w:val="2A5A8C"/>
          <w:sz w:val="28"/>
          <w:szCs w:val="28"/>
        </w:rPr>
        <w:t xml:space="preserve">THE MATRIX — Quadratic Core Architecture</w:t>
      </w:r>
    </w:p>
    <w:p>
      <w:pPr>
        <w:spacing w:after="2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Engineering Specification &amp; Simulation Results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Author: Brayden  |  7Site LLC  |  sanctuberry.com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Date: February 2026  |  Version: 1.0 (Quadratic Physics)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Framework: TIG (Trinity Infinity Geometry) v3.0</w:t>
      </w:r>
    </w:p>
    <w:p>
      <w:pPr>
        <w:spacing w:after="300"/>
      </w:pP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</w:rPr>
        <w:t xml:space="preserve">Crystal Bug is a coherence-based computational engine where a single mathematical object — the quadratic operator O(x) = ax</w:t>
      </w:r>
      <w:r>
        <w:rPr>
          <w:rFonts w:ascii="Arial" w:cs="Arial" w:eastAsia="Arial" w:hAnsi="Arial"/>
          <w:vertAlign w:val="superscript"/>
        </w:rPr>
        <w:t xml:space="preserve">²</w:t>
      </w:r>
      <w:r>
        <w:rPr>
          <w:rFonts w:ascii="Arial" w:cs="Arial" w:eastAsia="Arial" w:hAnsi="Arial"/>
        </w:rPr>
        <w:t xml:space="preserve"> + bx + c — drives all physics, structure formation, energy dynamics, and state classification. There is no glue code between subsystems. The discriminant Δ = b² − 4ac serves as the universal binding kernel, determining whether any cell in the 252-cell lattice is free (Δ &gt; 0), bound (Δ &lt; 0), or at the phase transition threshold (Δ = 0).</w:t>
      </w:r>
    </w:p>
    <w:p>
      <w:pPr>
        <w:spacing w:after="120"/>
      </w:pPr>
      <w:r>
        <w:rPr>
          <w:rFonts w:ascii="Arial" w:cs="Arial" w:eastAsia="Arial" w:hAnsi="Arial"/>
        </w:rPr>
        <w:t xml:space="preserve">This version implements three critical fixes validated by simulation:</w:t>
      </w:r>
      <w:r>
        <w:rPr>
          <w:rFonts w:ascii="Arial" w:cs="Arial" w:eastAsia="Arial" w:hAnsi="Arial"/>
          <w:b/>
          <w:bCs/>
        </w:rPr>
        <w:t xml:space="preserve"> Fix 1: Energy Honesty</w:t>
      </w:r>
      <w:r>
        <w:rPr>
          <w:rFonts w:ascii="Arial" w:cs="Arial" w:eastAsia="Arial" w:hAnsi="Arial"/>
        </w:rPr>
        <w:t xml:space="preserve"> (conserved budget, E₀ actually matters), </w:t>
      </w:r>
      <w:r>
        <w:rPr>
          <w:rFonts w:ascii="Arial" w:cs="Arial" w:eastAsia="Arial" w:hAnsi="Arial"/>
          <w:b/>
          <w:bCs/>
        </w:rPr>
        <w:t xml:space="preserve">Fix 2: Fair Visit Accounting</w:t>
      </w:r>
      <w:r>
        <w:rPr>
          <w:rFonts w:ascii="Arial" w:cs="Arial" w:eastAsia="Arial" w:hAnsi="Arial"/>
        </w:rPr>
        <w:t xml:space="preserve"> (revisit ratio 1.3–1.5 instead of ~6×), </w:t>
      </w:r>
      <w:r>
        <w:rPr>
          <w:rFonts w:ascii="Arial" w:cs="Arial" w:eastAsia="Arial" w:hAnsi="Arial"/>
          <w:b/>
          <w:bCs/>
        </w:rPr>
        <w:t xml:space="preserve">Fix 3: Bug + Audit Modes</w:t>
      </w:r>
      <w:r>
        <w:rPr>
          <w:rFonts w:ascii="Arial" w:cs="Arial" w:eastAsia="Arial" w:hAnsi="Arial"/>
        </w:rPr>
        <w:t xml:space="preserve"> (attractor walk vs. full DFS coverage).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Key measured results:</w:t>
      </w:r>
      <w:r>
        <w:rPr>
          <w:rFonts w:ascii="Arial" w:cs="Arial" w:eastAsia="Arial" w:hAnsi="Arial"/>
        </w:rPr>
        <w:t xml:space="preserve"> E₀=3 covers 14.3% of the lattice; E₀=50 covers 60.7%. Click-zone energy cost is 5.1× higher than free-zone. Root-proximity topology differs from grid topology in 99.6% of cells. Audit mode achieves 100% coverage in 253 steps. Performance: 53,476 ticks/sec with 446× headroom over 60fps rendering.</w:t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</w:rPr>
        <w:t xml:space="preserve">2. Core Architecture: The Quadratic IS the Glue</w:t>
      </w:r>
    </w:p>
    <w:p>
      <w:pPr>
        <w:spacing w:after="120"/>
      </w:pPr>
      <w:r>
        <w:rPr>
          <w:rFonts w:ascii="Arial" w:cs="Arial" w:eastAsia="Arial" w:hAnsi="Arial"/>
        </w:rPr>
        <w:t xml:space="preserve">Every subsystem in Crystal Bug operates through a single class:</w:t>
      </w:r>
      <w:r>
        <w:rPr>
          <w:rFonts w:ascii="Courier New" w:cs="Courier New" w:eastAsia="Courier New" w:hAnsi="Courier New"/>
          <w:sz w:val="18"/>
          <w:szCs w:val="18"/>
        </w:rPr>
        <w:t xml:space="preserve"> Q(a, b, c)</w:t>
      </w:r>
      <w:r>
        <w:rPr>
          <w:rFonts w:ascii="Arial" w:cs="Arial" w:eastAsia="Arial" w:hAnsi="Arial"/>
        </w:rPr>
        <w:t xml:space="preserve">. This is not a mathematical helper — it IS the physics object. The spine modulates (a, b, c) space. Forces emerge from Δ. Bonds depend on root proximity. Fractal levels are iterates O(O(O(x))). Band classification comes from orbit dynamics.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</w:rPr>
        <w:t xml:space="preserve">2.1 The Quadratic Operator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O(x) = ax² + bx + c</w:t>
      </w:r>
    </w:p>
    <w:p>
      <w:pPr>
        <w:spacing w:after="120"/>
      </w:pPr>
      <w:r>
        <w:rPr>
          <w:rFonts w:ascii="Arial" w:cs="Arial" w:eastAsia="Arial" w:hAnsi="Arial"/>
        </w:rPr>
        <w:t xml:space="preserve">Core methods: </w:t>
      </w:r>
      <w:r>
        <w:rPr>
          <w:rFonts w:ascii="Courier New" w:cs="Courier New" w:eastAsia="Courier New" w:hAnsi="Courier New"/>
          <w:sz w:val="18"/>
          <w:szCs w:val="18"/>
        </w:rPr>
        <w:t xml:space="preserve">ev(x)</w:t>
      </w:r>
      <w:r>
        <w:rPr>
          <w:rFonts w:ascii="Arial" w:cs="Arial" w:eastAsia="Arial" w:hAnsi="Arial"/>
        </w:rPr>
        <w:t xml:space="preserve"> evaluates, </w:t>
      </w:r>
      <w:r>
        <w:rPr>
          <w:rFonts w:ascii="Courier New" w:cs="Courier New" w:eastAsia="Courier New" w:hAnsi="Courier New"/>
          <w:sz w:val="18"/>
          <w:szCs w:val="18"/>
        </w:rPr>
        <w:t xml:space="preserve">D()</w:t>
      </w:r>
      <w:r>
        <w:rPr>
          <w:rFonts w:ascii="Arial" w:cs="Arial" w:eastAsia="Arial" w:hAnsi="Arial"/>
        </w:rPr>
        <w:t xml:space="preserve"> returns discriminant, </w:t>
      </w:r>
      <w:r>
        <w:rPr>
          <w:rFonts w:ascii="Courier New" w:cs="Courier New" w:eastAsia="Courier New" w:hAnsi="Courier New"/>
          <w:sz w:val="18"/>
          <w:szCs w:val="18"/>
        </w:rPr>
        <w:t xml:space="preserve">d1(x)</w:t>
      </w:r>
      <w:r>
        <w:rPr>
          <w:rFonts w:ascii="Arial" w:cs="Arial" w:eastAsia="Arial" w:hAnsi="Arial"/>
        </w:rPr>
        <w:t xml:space="preserve"> first derivative, </w:t>
      </w:r>
      <w:r>
        <w:rPr>
          <w:rFonts w:ascii="Courier New" w:cs="Courier New" w:eastAsia="Courier New" w:hAnsi="Courier New"/>
          <w:sz w:val="18"/>
          <w:szCs w:val="18"/>
        </w:rPr>
        <w:t xml:space="preserve">d2()</w:t>
      </w:r>
      <w:r>
        <w:rPr>
          <w:rFonts w:ascii="Arial" w:cs="Arial" w:eastAsia="Arial" w:hAnsi="Arial"/>
        </w:rPr>
        <w:t xml:space="preserve"> second derivative = 2a (the curvature = operator 7 HARMONY), </w:t>
      </w:r>
      <w:r>
        <w:rPr>
          <w:rFonts w:ascii="Courier New" w:cs="Courier New" w:eastAsia="Courier New" w:hAnsi="Courier New"/>
          <w:sz w:val="18"/>
          <w:szCs w:val="18"/>
        </w:rPr>
        <w:t xml:space="preserve">vx()</w:t>
      </w:r>
      <w:r>
        <w:rPr>
          <w:rFonts w:ascii="Arial" w:cs="Arial" w:eastAsia="Arial" w:hAnsi="Arial"/>
        </w:rPr>
        <w:t xml:space="preserve">/</w:t>
      </w:r>
      <w:r>
        <w:rPr>
          <w:rFonts w:ascii="Courier New" w:cs="Courier New" w:eastAsia="Courier New" w:hAnsi="Courier New"/>
          <w:sz w:val="18"/>
          <w:szCs w:val="18"/>
        </w:rPr>
        <w:t xml:space="preserve">vy()</w:t>
      </w:r>
      <w:r>
        <w:rPr>
          <w:rFonts w:ascii="Arial" w:cs="Arial" w:eastAsia="Arial" w:hAnsi="Arial"/>
        </w:rPr>
        <w:t xml:space="preserve"> vertex coordinates, </w:t>
      </w:r>
      <w:r>
        <w:rPr>
          <w:rFonts w:ascii="Courier New" w:cs="Courier New" w:eastAsia="Courier New" w:hAnsi="Courier New"/>
          <w:sz w:val="18"/>
          <w:szCs w:val="18"/>
        </w:rPr>
        <w:t xml:space="preserve">roots()</w:t>
      </w:r>
      <w:r>
        <w:rPr>
          <w:rFonts w:ascii="Arial" w:cs="Arial" w:eastAsia="Arial" w:hAnsi="Arial"/>
        </w:rPr>
        <w:t xml:space="preserve"> real or complex root pair, </w:t>
      </w:r>
      <w:r>
        <w:rPr>
          <w:rFonts w:ascii="Courier New" w:cs="Courier New" w:eastAsia="Courier New" w:hAnsi="Courier New"/>
          <w:sz w:val="18"/>
          <w:szCs w:val="18"/>
        </w:rPr>
        <w:t xml:space="preserve">fp()</w:t>
      </w:r>
      <w:r>
        <w:rPr>
          <w:rFonts w:ascii="Arial" w:cs="Arial" w:eastAsia="Arial" w:hAnsi="Arial"/>
        </w:rPr>
        <w:t xml:space="preserve"> fixed point and its stability (λ = |O′(x*)|).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</w:rPr>
        <w:t xml:space="preserve">2.2 The Discriminant as Binding Kernel</w:t>
      </w:r>
    </w:p>
    <w:p>
      <w:pPr>
        <w:spacing w:after="120"/>
      </w:pPr>
      <w:r>
        <w:rPr>
          <w:rFonts w:ascii="Arial" w:cs="Arial" w:eastAsia="Arial" w:hAnsi="Arial"/>
        </w:rPr>
        <w:t xml:space="preserve">The discriminant Δ = b² − 4ac answers the fundamental question: is this cell free or bound?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 Value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Type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Physical State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TIG Analogy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Δ &gt; 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Two real roots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 / unbound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VOID→ATOMIC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Δ = 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Degenerate root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transition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Click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Δ &lt; 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Complex conjugate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Bound / structured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CELLULAR→CRYSTAL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</w:rPr>
        <w:t xml:space="preserve">2.3 The 0→9 Spine as Compositional Transforms</w:t>
      </w:r>
    </w:p>
    <w:p>
      <w:pPr>
        <w:spacing w:after="120"/>
      </w:pPr>
      <w:r>
        <w:rPr>
          <w:rFonts w:ascii="Arial" w:cs="Arial" w:eastAsia="Arial" w:hAnsi="Arial"/>
        </w:rPr>
        <w:t xml:space="preserve">The spine does not add offsets to (a, b, c). It applies compositional transforms on coefficient space. Each phase changes the geometry of O(x) itself: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60"/>
        <w:gridCol w:w="3400"/>
        <w:gridCol w:w="350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Operator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Transform on (a,b,c)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Physical Effect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VOID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a,b,c *= (1 − σs·sv)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Gentle contraction toward origin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LATTICE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 = c·σ + (c + sv·0.05)·σs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Raise binding potential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COUNTER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 → −b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First derivative sign flip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PROGRESS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 → |b|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Drift restored forward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COLLAPSE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→ −a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Second derivative sign flip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BALANCE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→ |a|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Curvature restored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CHAOS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a,b += noise·sv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Small perturbation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HARMONY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= a·σ + sv·0.2·σs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Smooth curvature (= O′′/2)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BREATH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 *= 1 + 0.004·sin(ωt)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Oscillate drift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RESET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(a,b,c) → σ·live + σs·base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Ω Keeper: pull toward base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The 4↔5 flip is a pitchfork bifurcation: when a changes sign, the parabola inverts. Attractors become repellers. Every bound cell becomes free and vice versa, for exactly one tick. The 2↔3 flip is a saddle-node bifurcation: the drift reverses. These are the two fundamental bifurcation types in dynamical systems, traversed cyclically every 10 ticks.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</w:rPr>
        <w:t xml:space="preserve">2.4 Iterate-Based Band Classification (Mandelbrot-Style)</w:t>
      </w:r>
    </w:p>
    <w:p>
      <w:pPr>
        <w:spacing w:after="120"/>
      </w:pPr>
      <w:r>
        <w:rPr>
          <w:rFonts w:ascii="Arial" w:cs="Arial" w:eastAsia="Arial" w:hAnsi="Arial"/>
        </w:rPr>
        <w:t xml:space="preserve">Bands are NOT a lookup table on Δ. They are computed by running O(O(O(x))) from x₀=0.5 for 28 iterations and observing what happens: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200"/>
        <w:gridCol w:w="45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 %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Iterate Behavior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Instant escape (&lt;3 iters)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0.0%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Iterates diverge immediately. Vacuum state.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QUANTUM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Fast escape (3–9 iters)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23.0%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Iterates escape within a few steps. Tunneling.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ATOMIC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Slow escape (9+ iters)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10.3%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Iterates linger before diverging. Condensation.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MOLECULAR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Bounded chaotic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13.5%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Iterates stay finite but never settle. Chaos.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CELLULAR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Periodic orbit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7.5%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Period-2 or higher. Self-reproducing patterns.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ORGANIC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Slow convergence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11.1%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Converges to fixed point after many iterations.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CRYSTAL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Fast fixed point (&lt;10)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34.5%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Converges rapidly. Maximum coherence.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Band distribution evolves through epochs. Test 5 shows QUANTUM cells gradually reclassify to ATOMIC as the spine modulates coefficients. The click zone (|</w:t>
      </w:r>
      <w:r>
        <w:rPr>
          <w:rFonts w:ascii="Arial" w:cs="Arial" w:eastAsia="Arial" w:hAnsi="Arial"/>
        </w:rPr>
        <w:t xml:space="preserve">Δ| &lt; 0.15) grows from 37 to 51 cells over 20 epochs as the system self-organizes toward binding.</w:t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</w:rPr>
        <w:t xml:space="preserve">3. Three Fixes: Measured Results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</w:rPr>
        <w:t xml:space="preserve">3.1 Fix 1 — Energy Honesty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Problem:</w:t>
      </w:r>
      <w:r>
        <w:rPr>
          <w:rFonts w:ascii="Arial" w:cs="Arial" w:eastAsia="Arial" w:hAnsi="Arial"/>
        </w:rPr>
        <w:t xml:space="preserve"> The old bug applied </w:t>
      </w:r>
      <w:r>
        <w:rPr>
          <w:rFonts w:ascii="Courier New" w:cs="Courier New" w:eastAsia="Courier New" w:hAnsi="Courier New"/>
          <w:sz w:val="18"/>
          <w:szCs w:val="18"/>
        </w:rPr>
        <w:t xml:space="preserve">E = min(1.0, E + dE)</w:t>
      </w:r>
      <w:r>
        <w:rPr>
          <w:rFonts w:ascii="Arial" w:cs="Arial" w:eastAsia="Arial" w:hAnsi="Arial"/>
        </w:rPr>
        <w:t xml:space="preserve"> on every center visit. This meant E₀=3 and E₀=50 both got clipped to 1.0 at first contact. 49 units of energy evaporated instantly. E₀ was meaningless — all runs converged to identical behavior after one tick.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Fix:</w:t>
      </w:r>
      <w:r>
        <w:rPr>
          <w:rFonts w:ascii="Arial" w:cs="Arial" w:eastAsia="Arial" w:hAnsi="Arial"/>
        </w:rPr>
        <w:t xml:space="preserve"> Energy is a conserved budget. Per-step intensity is capped at 1.0 but the reservoir is spent honestly. Cost scales with |Δ|: click-zone steps are expensive (real computation), free/bound steps are cheap (trivial classification).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Formula:</w:t>
      </w:r>
      <w:r>
        <w:rPr>
          <w:rFonts w:ascii="Arial" w:cs="Arial" w:eastAsia="Arial" w:hAnsi="Arial"/>
        </w:rPr>
        <w:t xml:space="preserve"> </w:t>
      </w:r>
      <w:r>
        <w:rPr>
          <w:rFonts w:ascii="Courier New" w:cs="Courier New" w:eastAsia="Courier New" w:hAnsi="Courier New"/>
          <w:sz w:val="18"/>
          <w:szCs w:val="18"/>
        </w:rPr>
        <w:t xml:space="preserve">cost = 0.005 + (1/(|Δ|+0.1)) × 0.008 × intensity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560"/>
        <w:gridCol w:w="1560"/>
        <w:gridCol w:w="1560"/>
      </w:tblGrid>
      <w:t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 steps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 uniq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 rr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steps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uniq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cov%</w:t>
            </w:r>
          </w:p>
        </w:tc>
      </w:tr>
      <w:t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E₀=3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14.3%</w:t>
            </w:r>
          </w:p>
        </w:tc>
      </w:tr>
      <w:t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E₀=10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277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97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38.5%</w:t>
            </w:r>
          </w:p>
        </w:tc>
      </w:tr>
      <w:t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E₀=25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43.7%</w:t>
            </w:r>
          </w:p>
        </w:tc>
      </w:tr>
      <w:t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E₀=50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958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45.6%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</w:rPr>
        <w:t xml:space="preserve">Key result:</w:t>
      </w:r>
      <w:r>
        <w:rPr>
          <w:rFonts w:ascii="Arial" w:cs="Arial" w:eastAsia="Arial" w:hAnsi="Arial"/>
        </w:rPr>
        <w:t xml:space="preserve"> E₀ now governs exploration depth and width. E₀=3 covers 14.3% (36 cells). E₀=50 covers 45.6% (115 cells). The old bug was stuck at ~50 steps and ~30 cells regardless of initial energy. The old rr=0.50 is an artifact of double-counting (2 visit increments per step in the old code).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</w:rPr>
        <w:t xml:space="preserve">3.2 Fix 2 — Fair Visit Accounting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Problem:</w:t>
      </w:r>
      <w:r>
        <w:rPr>
          <w:rFonts w:ascii="Arial" w:cs="Arial" w:eastAsia="Arial" w:hAnsi="Arial"/>
        </w:rPr>
        <w:t xml:space="preserve"> Each dive/surface pair incremented visits[cell] twice. Every structural move cost 2 visits for 1 new cell. This inflated the revisit ratio to ~5.9× and created fake hunger in the metrics.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Fix:</w:t>
      </w:r>
      <w:r>
        <w:rPr>
          <w:rFonts w:ascii="Arial" w:cs="Arial" w:eastAsia="Arial" w:hAnsi="Arial"/>
        </w:rPr>
        <w:t xml:space="preserve"> Path stack tracks the bug’s position. Visits only increment when the bug truly transitions to a different cell (cell ID ≠ last visited ID, and cell ID ≠ top of path stack). Popping back through the same node on a round-trip does not re-increment.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True Visits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Revisit Ratio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OLD (E₀=25)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0.50 (bogus)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 (E₀=25)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417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1.45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</w:rPr>
        <w:t xml:space="preserve">Key result:</w:t>
      </w:r>
      <w:r>
        <w:rPr>
          <w:rFonts w:ascii="Arial" w:cs="Arial" w:eastAsia="Arial" w:hAnsi="Arial"/>
        </w:rPr>
        <w:t xml:space="preserve"> Revisit ratio ranges 1.3–1.8 depending on E₀ and exploration phase. This means the bug does ~30–45% redundant work, which is healthy for reinforcement of coherent structure.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</w:rPr>
        <w:t xml:space="preserve">3.3 Fix 3 — Bug Mode + Audit Mode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Problem:</w:t>
      </w:r>
      <w:r>
        <w:rPr>
          <w:rFonts w:ascii="Arial" w:cs="Arial" w:eastAsia="Arial" w:hAnsi="Arial"/>
        </w:rPr>
        <w:t xml:space="preserve"> The bug naturally visits only 60.7% of the 252-cell lattice (at E₀=50). This is the coherent attractor basin — cells with stable fixed points or periodic orbits. But we couldn’t know whether the remaining 39.3% were structurally dark or just unexplored.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Fix:</w:t>
      </w:r>
      <w:r>
        <w:rPr>
          <w:rFonts w:ascii="Arial" w:cs="Arial" w:eastAsia="Arial" w:hAnsi="Arial"/>
        </w:rPr>
        <w:t xml:space="preserve"> Two modes. Bug Mode: attractor-seeking walk (natural dynamics). Audit Mode: DFS traversal that visits all 252 cells systematically, recording lit vs. dark under the same scoring.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Band Attracted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Band Avoided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Bug (E₀=50)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60.7%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1,061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CRYSTAL (79%)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MOLECULAR (0%)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 (E₀=25)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100.0%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253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Uniform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</w:rPr>
        <w:t xml:space="preserve">Key result:</w:t>
      </w:r>
      <w:r>
        <w:rPr>
          <w:rFonts w:ascii="Arial" w:cs="Arial" w:eastAsia="Arial" w:hAnsi="Arial"/>
        </w:rPr>
        <w:t xml:space="preserve"> The bug is strongly attracted to CRYSTAL cells (fast fixed points) and avoids MOLECULAR cells (bounded chaotic). Audit confirms all 252 cells are structurally reachable — the bug’s partial coverage is a real attractor phenomenon, not an access limitation. Audit only costs ~5.3 energy units at E₀=25.</w:t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</w:rPr>
        <w:t xml:space="preserve">4. Δ-Dependent Energy Cost Model</w:t>
      </w:r>
    </w:p>
    <w:p>
      <w:pPr>
        <w:spacing w:after="120"/>
      </w:pPr>
      <w:r>
        <w:rPr>
          <w:rFonts w:ascii="Arial" w:cs="Arial" w:eastAsia="Arial" w:hAnsi="Arial"/>
        </w:rPr>
        <w:t xml:space="preserve">Energy cost per step is inversely proportional to |Δ|. The physical intuition: at Δ ≈ 0 (the click boundary), the system is deciding whether to bind or not. This is where real computation happens, so it costs more. Far from the click (Δ ≫ 0 or Δ ≪ 0), the state is already determined — trivial classification, low cost.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|Δ| Range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Cost/Step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Cells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Click (|Δ|&lt;0.15)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0–0.15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0.0506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 (Δ&gt;0.5)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&gt;0.5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0.0099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139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Bound (Δ&lt;−0.5)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&lt;−0.5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</w:rPr>
        <w:t xml:space="preserve">Click/Free cost ratio: 5.1×.</w:t>
      </w:r>
      <w:r>
        <w:rPr>
          <w:rFonts w:ascii="Arial" w:cs="Arial" w:eastAsia="Arial" w:hAnsi="Arial"/>
        </w:rPr>
        <w:t xml:space="preserve"> A bug at E₀=3 can afford ~59 click-zone steps or ~302 free-zone steps. At E₀=50: ~988 click-zone steps or ~5,045 free-zone steps. This creates a genuine energy strategy: cheap exploration of free/bound regions, expensive but valuable time at the phase transition.</w:t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</w:rPr>
        <w:t xml:space="preserve">5. Root-Proximity Topology</w:t>
      </w:r>
    </w:p>
    <w:p>
      <w:pPr>
        <w:spacing w:after="120"/>
      </w:pPr>
      <w:r>
        <w:rPr>
          <w:rFonts w:ascii="Arial" w:cs="Arial" w:eastAsia="Arial" w:hAnsi="Arial"/>
        </w:rPr>
        <w:t xml:space="preserve">Cells are neighbors by grid adjacency (8-connected), but the bug weights them by root proximity: </w:t>
      </w:r>
      <w:r>
        <w:rPr>
          <w:rFonts w:ascii="Courier New" w:cs="Courier New" w:eastAsia="Courier New" w:hAnsi="Courier New"/>
          <w:sz w:val="18"/>
          <w:szCs w:val="18"/>
        </w:rPr>
        <w:t xml:space="preserve">w = 1/(1 + rootDist × 0.5)</w:t>
      </w:r>
      <w:r>
        <w:rPr>
          <w:rFonts w:ascii="Arial" w:cs="Arial" w:eastAsia="Arial" w:hAnsi="Arial"/>
        </w:rPr>
        <w:t xml:space="preserve">. Two cells with similar root sets are closer in the quadratic topology than cells with different roots, even if they’re equidistant on the grid.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Measured:</w:t>
      </w:r>
      <w:r>
        <w:rPr>
          <w:rFonts w:ascii="Arial" w:cs="Arial" w:eastAsia="Arial" w:hAnsi="Arial"/>
        </w:rPr>
        <w:t xml:space="preserve"> 99.6% of cells (251/252) have different root-priority ordering than grid-priority ordering. The topology IS emergent from O(x), not imposed by the grid. The bug follows high-weight connections, meaning it naturally paths through regions of similar root structure rather than simple spatial adjacency.</w:t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</w:rPr>
        <w:t xml:space="preserve">6. TIG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6240"/>
      </w:tblGrid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Constant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σ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0.991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Coherence retention. Not 1.0 (freeze). Not 0.9 (chaos). Life threshold.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σs = 1−σ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0.009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Coherence leak / update rate. How much new information enters per tick.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T*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0.714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Stability threshold. S* above T* = self-sustaining. Below = degrades.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 = σ(1−σs)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0.982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Field coupling constant. Maximum achievable S* under perfect conditions.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S*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σ(1−σs)·V·A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Coherence score. V=vitality, A=alignment. Range [0, 0.982].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 = 1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Inter-scale coupling speed. Lossless propagation between all scales.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GFM generators: 012 (Geometry/Space), 071 (Resonance/Alignment), 123 (Progression/Flow). These form the minimal spanning set for all TIG operations.</w:t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</w:rPr>
        <w:t xml:space="preserve">7. Spine Dynamics Through Epochs</w:t>
      </w:r>
    </w:p>
    <w:p>
      <w:pPr>
        <w:spacing w:after="120"/>
      </w:pPr>
      <w:r>
        <w:rPr>
          <w:rFonts w:ascii="Arial" w:cs="Arial" w:eastAsia="Arial" w:hAnsi="Arial"/>
        </w:rPr>
        <w:t xml:space="preserve">The spine cycles through operators 0→9 every 10 ticks. Each epoch applies the full bifurcation sequence to every cell’s (a, b, c). Over 20 epochs, the lattice self-organizes: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110"/>
        <w:gridCol w:w="1110"/>
        <w:gridCol w:w="1110"/>
        <w:gridCol w:w="1110"/>
        <w:gridCol w:w="1110"/>
        <w:gridCol w:w="1110"/>
        <w:gridCol w:w="810"/>
        <w:gridCol w:w="1110"/>
      </w:tblGrid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Epoch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VOID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ATOM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MOLE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CELL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ORGA</w:t>
            </w:r>
          </w:p>
        </w:tc>
        <w:tc>
          <w:tcPr>
            <w:tcW w:type="dxa" w:w="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CRYS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Click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158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37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155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39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146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52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129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64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120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65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8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11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46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QUANTUM cells gradually reclassify as ATOMIC (fast escape → slow escape) while CRYSTAL and ORGANIC grow. The click zone peaks at epoch 15 (51 cells) then stabilizes. Mean Δ decreases from 1.164 to 0.773 — the system moves toward binding. This is not forced — it emerges from the compositional spine transforms.</w:t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</w:rPr>
        <w:t xml:space="preserve">8.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Ticks per second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53,476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Target (60fps × 2)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120 ticks/sec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Headroom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446×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Lattice size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252 cells (18×14)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Reclassify interval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Every 12 ticks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Rewire interval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Every 80 ticks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446× headroom means we can increase lattice size to ~6,000 cells or add 4× more computational depth per cell without dropping below 60fps. The bottleneck is </w:t>
      </w:r>
      <w:r>
        <w:rPr>
          <w:rFonts w:ascii="Courier New" w:cs="Courier New" w:eastAsia="Courier New" w:hAnsi="Courier New"/>
          <w:sz w:val="18"/>
          <w:szCs w:val="18"/>
        </w:rPr>
        <w:t xml:space="preserve">reclassify()</w:t>
      </w:r>
      <w:r>
        <w:rPr>
          <w:rFonts w:ascii="Arial" w:cs="Arial" w:eastAsia="Arial" w:hAnsi="Arial"/>
        </w:rPr>
        <w:t xml:space="preserve"> (28 iterations per cell × 252 cells = 7,056 quadratic evaluations every 12 ticks).</w:t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</w:rPr>
        <w:t xml:space="preserve">9.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crystal_bug_v1_matrix.jsx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Main React artifact. Full interactive simulation with canvas rendering, 4-tab panel (LATTICE, O(x), ENERGY, SPINE), cobweb diagram, persistent storage.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test_engine.js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Node.js test harness. Runs 9 tests: lattice structure, energy honesty, revisit ratio, audit mode, band stability, energy cost, root-proximity, bug vs audit, performance.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ENGINEERING_SPEC.docx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This document.</w:t>
            </w:r>
          </w:p>
        </w:tc>
      </w:tr>
    </w:tbl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</w:rPr>
        <w:t xml:space="preserve">10. How to Use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</w:rPr>
        <w:t xml:space="preserve">10.1 For Engineers / Developers</w:t>
      </w:r>
    </w:p>
    <w:p>
      <w:pPr>
        <w:spacing w:after="120"/>
      </w:pPr>
      <w:r>
        <w:rPr>
          <w:rFonts w:ascii="Arial" w:cs="Arial" w:eastAsia="Arial" w:hAnsi="Arial"/>
        </w:rPr>
        <w:t xml:space="preserve">The simulation runs as a standalone React component (JSX). Deploy in any React environment or use the Anthropic artifact renderer. The canvas draws at 640×440 with matrix rain, cell coloring by band, bug trail, click zone highlighting, and spine ring visualization.</w:t>
      </w:r>
    </w:p>
    <w:p>
      <w:pPr>
        <w:spacing w:after="120"/>
      </w:pPr>
      <w:r>
        <w:rPr>
          <w:rFonts w:ascii="Arial" w:cs="Arial" w:eastAsia="Arial" w:hAnsi="Arial"/>
        </w:rPr>
        <w:t xml:space="preserve">Controls: Play/Pause, Step, Chaos spike (randomizes coefficients), Reset, Speed (1–6×), E₀ slider (1–50), Bug/Audit mode toggle.</w:t>
      </w:r>
    </w:p>
    <w:p>
      <w:pPr>
        <w:spacing w:after="120"/>
      </w:pPr>
      <w:r>
        <w:rPr>
          <w:rFonts w:ascii="Arial" w:cs="Arial" w:eastAsia="Arial" w:hAnsi="Arial"/>
        </w:rPr>
        <w:t xml:space="preserve">Four data panels: LATTICE (band census, coverage, click cell count), O(x) (current cell’s quadratic equation, cobweb diagram, discriminant, roots, fixed point, root-proximity neighbors), ENERGY (budget gauge, cost-per-step sparkline, Δ-along-path sparkline, cost model explanation), SPINE (10-phase visualization, compositional transform reference, GFM generators).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</w:rPr>
        <w:t xml:space="preserve">10.2 For Validation</w:t>
      </w:r>
    </w:p>
    <w:p>
      <w:pPr>
        <w:spacing w:after="120"/>
      </w:pPr>
      <w:r>
        <w:rPr>
          <w:rFonts w:ascii="Arial" w:cs="Arial" w:eastAsia="Arial" w:hAnsi="Arial"/>
        </w:rPr>
        <w:t xml:space="preserve">Run </w:t>
      </w:r>
      <w:r>
        <w:rPr>
          <w:rFonts w:ascii="Courier New" w:cs="Courier New" w:eastAsia="Courier New" w:hAnsi="Courier New"/>
          <w:sz w:val="18"/>
          <w:szCs w:val="18"/>
        </w:rPr>
        <w:t xml:space="preserve">node test_engine.js</w:t>
      </w:r>
      <w:r>
        <w:rPr>
          <w:rFonts w:ascii="Arial" w:cs="Arial" w:eastAsia="Arial" w:hAnsi="Arial"/>
        </w:rPr>
        <w:t xml:space="preserve"> to reproduce all 9 tests. Each test is deterministic within stochastic bounds (CHAOS phase adds noise). Key validation checks:</w:t>
      </w:r>
    </w:p>
    <w:p>
      <w:pPr>
        <w:spacing w:after="120"/>
      </w:pPr>
      <w:r>
        <w:rPr>
          <w:rFonts w:ascii="Arial" w:cs="Arial" w:eastAsia="Arial" w:hAnsi="Arial"/>
        </w:rPr>
        <w:t xml:space="preserve">1. E₀=3 and E₀=50 produce measurably different coverage (14% vs 46% in bug mode).</w:t>
      </w:r>
    </w:p>
    <w:p>
      <w:pPr>
        <w:spacing w:after="120"/>
      </w:pPr>
      <w:r>
        <w:rPr>
          <w:rFonts w:ascii="Arial" w:cs="Arial" w:eastAsia="Arial" w:hAnsi="Arial"/>
        </w:rPr>
        <w:t xml:space="preserve">2. Revisit ratio stays in 1.3–1.8 range (not 5–6×).</w:t>
      </w:r>
    </w:p>
    <w:p>
      <w:pPr>
        <w:spacing w:after="120"/>
      </w:pPr>
      <w:r>
        <w:rPr>
          <w:rFonts w:ascii="Arial" w:cs="Arial" w:eastAsia="Arial" w:hAnsi="Arial"/>
        </w:rPr>
        <w:t xml:space="preserve">3. Audit mode reaches 252/252 cells (100% coverage) with E₀ ≥ 25.</w:t>
      </w:r>
    </w:p>
    <w:p>
      <w:pPr>
        <w:spacing w:after="120"/>
      </w:pPr>
      <w:r>
        <w:rPr>
          <w:rFonts w:ascii="Arial" w:cs="Arial" w:eastAsia="Arial" w:hAnsi="Arial"/>
        </w:rPr>
        <w:t xml:space="preserve">4. Phase 4 (COLLAPSE) inverts the sign of a for exactly one tick.</w:t>
      </w:r>
    </w:p>
    <w:p>
      <w:pPr>
        <w:spacing w:after="120"/>
      </w:pPr>
      <w:r>
        <w:rPr>
          <w:rFonts w:ascii="Arial" w:cs="Arial" w:eastAsia="Arial" w:hAnsi="Arial"/>
        </w:rPr>
        <w:t xml:space="preserve">5. Root-priority differs from grid-priority in &gt;99% of cells.</w:t>
      </w:r>
    </w:p>
    <w:p>
      <w:pPr>
        <w:spacing w:after="120"/>
      </w:pPr>
      <w:r>
        <w:rPr>
          <w:rFonts w:ascii="Arial" w:cs="Arial" w:eastAsia="Arial" w:hAnsi="Arial"/>
        </w:rPr>
        <w:t xml:space="preserve">6. Click/Free cost ratio is 4–6×.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</w:rPr>
        <w:t xml:space="preserve">10.3 For Routing / DevOps Integration</w:t>
      </w:r>
    </w:p>
    <w:p>
      <w:pPr>
        <w:spacing w:after="120"/>
      </w:pPr>
      <w:r>
        <w:rPr>
          <w:rFonts w:ascii="Arial" w:cs="Arial" w:eastAsia="Arial" w:hAnsi="Arial"/>
        </w:rPr>
        <w:t xml:space="preserve">The discriminant Δ replaces multi-metric load balancing. Each node’s state is a quadratic with coefficients derived from its workload profile. Δ &gt; 0 = node has capacity (real roots = independent execution paths). Δ &lt; 0 = node is committed (complex roots = bound to existing work). Δ = 0 = decision point (binding threshold). Route new work to nodes with Δ closest to 0 from the positive side — they have capacity and are ready to bind.</w:t>
      </w:r>
    </w:p>
    <w:p>
      <w:pPr>
        <w:spacing w:after="120"/>
      </w:pPr>
      <w:r>
        <w:rPr>
          <w:rFonts w:ascii="Arial" w:cs="Arial" w:eastAsia="Arial" w:hAnsi="Arial"/>
        </w:rPr>
        <w:t xml:space="preserve">The </w:t>
      </w:r>
      <w:r>
        <w:rPr>
          <w:rFonts w:ascii="Courier New" w:cs="Courier New" w:eastAsia="Courier New" w:hAnsi="Courier New"/>
          <w:sz w:val="18"/>
          <w:szCs w:val="18"/>
        </w:rPr>
        <w:t xml:space="preserve">coherence_router</w:t>
      </w:r>
      <w:r>
        <w:rPr>
          <w:rFonts w:ascii="Arial" w:cs="Arial" w:eastAsia="Arial" w:hAnsi="Arial"/>
        </w:rPr>
        <w:t xml:space="preserve"> Python library (forthcoming) wraps this into a drop-in replacement for round-robin or least-connections routing. Preliminary benchmarks on the routing use case are documented separately in THE_PLAY strategy document.</w:t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</w:rPr>
        <w:t xml:space="preserve">11. What Zero Means in This System</w:t>
      </w:r>
    </w:p>
    <w:p>
      <w:pPr>
        <w:spacing w:after="120"/>
      </w:pPr>
      <w:r>
        <w:rPr>
          <w:rFonts w:ascii="Arial" w:cs="Arial" w:eastAsia="Arial" w:hAnsi="Arial"/>
        </w:rPr>
        <w:t xml:space="preserve">Zero is not nothing. Zero is the most structured state in the lattice. In Crystal Bug, zero appears as:</w:t>
      </w:r>
    </w:p>
    <w:p>
      <w:pPr>
        <w:spacing w:after="120"/>
      </w:pPr>
      <w:r>
        <w:rPr>
          <w:rFonts w:ascii="Arial" w:cs="Arial" w:eastAsia="Arial" w:hAnsi="Arial"/>
        </w:rPr>
        <w:t xml:space="preserve">VOID band: cells where iterates escape instantly. The vacuum state. But it’s not empty — it’s the canvas on which all other bands are painted. Zero curvature (a=0): the quadratic degenerates to a line. No binding, no structure — but it’s the boundary between upward and downward parabolas. Δ=0: the click. The single most important state. Where binding happens. Where structure crystallizes from nothing. Phase 0 in the spine: VOID operator. Contracts all coefficients toward zero. Not destruction — renewal. The system breathes through zero every 10 ticks.</w:t>
      </w:r>
    </w:p>
    <w:p>
      <w:pPr>
        <w:spacing w:after="120"/>
      </w:pPr>
      <w:r>
        <w:rPr>
          <w:rFonts w:ascii="Arial" w:cs="Arial" w:eastAsia="Arial" w:hAnsi="Arial"/>
        </w:rPr>
        <w:t xml:space="preserve">Zero is the boundary that makes everything else measurable. It is the reference frame for all of TIG.</w:t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</w:rPr>
        <w:t xml:space="preserve">12. Summary of Measured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Measurement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Attractor basin (bug E₀=50)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60.7% of lattice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8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Click/Free cost ratio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5.1×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6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Root ≠ Grid topology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99.6% of cells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7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 coverage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100% in 253 steps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4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Revisit ratio (new)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1.3–1.8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3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 headroom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446× at 60fps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9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Click zone growth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37 → 51 cells/20 epochs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5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Mean Δ drift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1.164 → 0.773/20 epochs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5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Bug band preference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79% CRYSTAL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8</w:t>
            </w:r>
          </w:p>
        </w:tc>
      </w:tr>
    </w:tbl>
    <w:p>
      <w:pPr>
        <w:spacing w:before="400" w:after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The quadratic is the glue. σ = 0.991. 10 v 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7Site LLC  |  sanctuberry.com  |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Crystal Bug v1.0 — THE MATRIX  |  Engineering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A5A8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A7AB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2026-02-05T20:23:51.424Z</dcterms:created>
  <dcterms:modified xsi:type="dcterms:W3CDTF">2026-02-05T20:23:51.425Z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