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09C29D" w14:textId="77777777" w:rsidR="00000000" w:rsidRDefault="00000000">
      <w:pPr>
        <w:keepNext/>
        <w:spacing w:before="100" w:beforeAutospacing="1" w:after="100" w:afterAutospacing="1"/>
        <w:jc w:val="center"/>
        <w:outlineLvl w:val="1"/>
        <w:rPr>
          <w:rFonts w:ascii="Segoe UI" w:eastAsia="Times New Roman" w:hAnsi="Segoe UI" w:cs="Segoe UI"/>
          <w:b/>
          <w:bCs/>
          <w:color w:val="002855"/>
          <w:kern w:val="36"/>
          <w:sz w:val="56"/>
          <w:szCs w:val="56"/>
          <w:lang w:val="en"/>
        </w:rPr>
      </w:pPr>
      <w:r>
        <w:rPr>
          <w:rFonts w:ascii="Segoe UI" w:eastAsia="Times New Roman" w:hAnsi="Segoe UI" w:cs="Segoe UI"/>
          <w:b/>
          <w:bCs/>
          <w:color w:val="002855"/>
          <w:kern w:val="36"/>
          <w:sz w:val="56"/>
          <w:szCs w:val="56"/>
          <w:lang w:val="en"/>
        </w:rPr>
        <w:t>DWA Validation &amp; Verification System</w:t>
      </w:r>
    </w:p>
    <w:p w14:paraId="287BAC0C" w14:textId="77777777" w:rsidR="00000000" w:rsidRDefault="00000000">
      <w:pPr>
        <w:keepNext/>
        <w:pBdr>
          <w:bottom w:val="single" w:sz="12" w:space="0" w:color="7DB8E0"/>
        </w:pBdr>
        <w:spacing w:before="100" w:beforeAutospacing="1" w:after="100" w:afterAutospacing="1"/>
        <w:jc w:val="center"/>
        <w:outlineLvl w:val="2"/>
        <w:rPr>
          <w:rFonts w:ascii="Segoe UI" w:eastAsia="Times New Roman" w:hAnsi="Segoe UI" w:cs="Segoe UI"/>
          <w:color w:val="0066B3"/>
          <w:sz w:val="32"/>
          <w:szCs w:val="32"/>
          <w:lang w:val="en"/>
        </w:rPr>
      </w:pPr>
      <w:r>
        <w:rPr>
          <w:rFonts w:ascii="Segoe UI" w:eastAsia="Times New Roman" w:hAnsi="Segoe UI" w:cs="Segoe UI"/>
          <w:color w:val="0066B3"/>
          <w:sz w:val="32"/>
          <w:szCs w:val="32"/>
          <w:lang w:val="en"/>
        </w:rPr>
        <w:t>Workflow &amp; Process Design</w:t>
      </w:r>
    </w:p>
    <w:p w14:paraId="2B8405E1" w14:textId="77777777" w:rsidR="00000000" w:rsidRDefault="00000000">
      <w:pPr>
        <w:pStyle w:val="NormalWeb"/>
        <w:rPr>
          <w:rFonts w:ascii="Segoe UI" w:hAnsi="Segoe UI" w:cs="Segoe UI"/>
          <w:color w:val="555D6E"/>
          <w:lang w:val="en"/>
        </w:rPr>
      </w:pPr>
      <w:r>
        <w:rPr>
          <w:rFonts w:ascii="Segoe UI" w:hAnsi="Segoe UI" w:cs="Segoe UI"/>
          <w:color w:val="555D6E"/>
          <w:lang w:val="en"/>
        </w:rPr>
        <w:t xml:space="preserve">State Machine Architecture, Letter Lifecycle, Data Flow &amp; Electronic Signature Specification </w:t>
      </w:r>
    </w:p>
    <w:p w14:paraId="02E25817" w14:textId="77777777" w:rsidR="00000000" w:rsidRDefault="00000000">
      <w:pPr>
        <w:spacing w:line="480" w:lineRule="auto"/>
        <w:jc w:val="center"/>
        <w:divId w:val="1223566881"/>
        <w:rPr>
          <w:rFonts w:ascii="Segoe UI" w:eastAsia="Times New Roman" w:hAnsi="Segoe UI" w:cs="Segoe UI"/>
          <w:color w:val="555D6E"/>
          <w:sz w:val="20"/>
          <w:szCs w:val="20"/>
          <w:lang w:val="en"/>
        </w:rPr>
      </w:pPr>
      <w:r>
        <w:rPr>
          <w:rFonts w:ascii="Segoe UI" w:eastAsia="Times New Roman" w:hAnsi="Segoe UI" w:cs="Segoe UI"/>
          <w:b/>
          <w:bCs/>
          <w:color w:val="002855"/>
          <w:sz w:val="20"/>
          <w:szCs w:val="20"/>
          <w:lang w:val="en"/>
        </w:rPr>
        <w:t>Client:</w:t>
      </w:r>
      <w:r>
        <w:rPr>
          <w:rFonts w:ascii="Segoe UI" w:eastAsia="Times New Roman" w:hAnsi="Segoe UI" w:cs="Segoe UI"/>
          <w:color w:val="555D6E"/>
          <w:sz w:val="20"/>
          <w:szCs w:val="20"/>
          <w:lang w:val="en"/>
        </w:rPr>
        <w:t xml:space="preserve"> Department of Water and Sanitation (DWS)</w:t>
      </w:r>
      <w:r>
        <w:rPr>
          <w:rFonts w:ascii="Segoe UI" w:eastAsia="Times New Roman" w:hAnsi="Segoe UI" w:cs="Segoe UI"/>
          <w:color w:val="555D6E"/>
          <w:sz w:val="20"/>
          <w:szCs w:val="20"/>
          <w:lang w:val="en"/>
        </w:rPr>
        <w:br/>
      </w:r>
      <w:r>
        <w:rPr>
          <w:rFonts w:ascii="Segoe UI" w:eastAsia="Times New Roman" w:hAnsi="Segoe UI" w:cs="Segoe UI"/>
          <w:b/>
          <w:bCs/>
          <w:color w:val="002855"/>
          <w:sz w:val="20"/>
          <w:szCs w:val="20"/>
          <w:lang w:val="en"/>
        </w:rPr>
        <w:t>Project:</w:t>
      </w:r>
      <w:r>
        <w:rPr>
          <w:rFonts w:ascii="Segoe UI" w:eastAsia="Times New Roman" w:hAnsi="Segoe UI" w:cs="Segoe UI"/>
          <w:color w:val="555D6E"/>
          <w:sz w:val="20"/>
          <w:szCs w:val="20"/>
          <w:lang w:val="en"/>
        </w:rPr>
        <w:t xml:space="preserve"> Electronic V&amp;V Information Management System</w:t>
      </w:r>
      <w:r>
        <w:rPr>
          <w:rFonts w:ascii="Segoe UI" w:eastAsia="Times New Roman" w:hAnsi="Segoe UI" w:cs="Segoe UI"/>
          <w:color w:val="555D6E"/>
          <w:sz w:val="20"/>
          <w:szCs w:val="20"/>
          <w:lang w:val="en"/>
        </w:rPr>
        <w:br/>
      </w:r>
      <w:r>
        <w:rPr>
          <w:rFonts w:ascii="Segoe UI" w:eastAsia="Times New Roman" w:hAnsi="Segoe UI" w:cs="Segoe UI"/>
          <w:b/>
          <w:bCs/>
          <w:color w:val="002855"/>
          <w:sz w:val="20"/>
          <w:szCs w:val="20"/>
          <w:lang w:val="en"/>
        </w:rPr>
        <w:t>Version:</w:t>
      </w:r>
      <w:r>
        <w:rPr>
          <w:rFonts w:ascii="Segoe UI" w:eastAsia="Times New Roman" w:hAnsi="Segoe UI" w:cs="Segoe UI"/>
          <w:color w:val="555D6E"/>
          <w:sz w:val="20"/>
          <w:szCs w:val="20"/>
          <w:lang w:val="en"/>
        </w:rPr>
        <w:t xml:space="preserve"> 1.0</w:t>
      </w:r>
      <w:r>
        <w:rPr>
          <w:rFonts w:ascii="Segoe UI" w:eastAsia="Times New Roman" w:hAnsi="Segoe UI" w:cs="Segoe UI"/>
          <w:color w:val="555D6E"/>
          <w:sz w:val="20"/>
          <w:szCs w:val="20"/>
          <w:lang w:val="en"/>
        </w:rPr>
        <w:br/>
      </w:r>
      <w:r>
        <w:rPr>
          <w:rFonts w:ascii="Segoe UI" w:eastAsia="Times New Roman" w:hAnsi="Segoe UI" w:cs="Segoe UI"/>
          <w:b/>
          <w:bCs/>
          <w:color w:val="002855"/>
          <w:sz w:val="20"/>
          <w:szCs w:val="20"/>
          <w:lang w:val="en"/>
        </w:rPr>
        <w:t>Date:</w:t>
      </w:r>
      <w:r>
        <w:rPr>
          <w:rFonts w:ascii="Segoe UI" w:eastAsia="Times New Roman" w:hAnsi="Segoe UI" w:cs="Segoe UI"/>
          <w:color w:val="555D6E"/>
          <w:sz w:val="20"/>
          <w:szCs w:val="20"/>
          <w:lang w:val="en"/>
        </w:rPr>
        <w:t xml:space="preserve"> 25 March 2026</w:t>
      </w:r>
      <w:r>
        <w:rPr>
          <w:rFonts w:ascii="Segoe UI" w:eastAsia="Times New Roman" w:hAnsi="Segoe UI" w:cs="Segoe UI"/>
          <w:color w:val="555D6E"/>
          <w:sz w:val="20"/>
          <w:szCs w:val="20"/>
          <w:lang w:val="en"/>
        </w:rPr>
        <w:br/>
      </w:r>
      <w:r>
        <w:rPr>
          <w:rFonts w:ascii="Segoe UI" w:eastAsia="Times New Roman" w:hAnsi="Segoe UI" w:cs="Segoe UI"/>
          <w:b/>
          <w:bCs/>
          <w:color w:val="002855"/>
          <w:sz w:val="20"/>
          <w:szCs w:val="20"/>
          <w:lang w:val="en"/>
        </w:rPr>
        <w:t>Classification:</w:t>
      </w:r>
      <w:r>
        <w:rPr>
          <w:rFonts w:ascii="Segoe UI" w:eastAsia="Times New Roman" w:hAnsi="Segoe UI" w:cs="Segoe UI"/>
          <w:color w:val="555D6E"/>
          <w:sz w:val="20"/>
          <w:szCs w:val="20"/>
          <w:lang w:val="en"/>
        </w:rPr>
        <w:t xml:space="preserve"> Internal — For Client Review </w:t>
      </w:r>
    </w:p>
    <w:p w14:paraId="405A2B8B" w14:textId="77777777" w:rsidR="00000000" w:rsidRDefault="00000000">
      <w:pPr>
        <w:jc w:val="center"/>
        <w:divId w:val="1635676985"/>
        <w:rPr>
          <w:rFonts w:ascii="Segoe UI" w:eastAsia="Times New Roman" w:hAnsi="Segoe UI" w:cs="Segoe UI"/>
          <w:color w:val="8892A0"/>
          <w:sz w:val="18"/>
          <w:szCs w:val="18"/>
          <w:lang w:val="en"/>
        </w:rPr>
      </w:pPr>
      <w:r>
        <w:rPr>
          <w:rFonts w:ascii="Segoe UI" w:eastAsia="Times New Roman" w:hAnsi="Segoe UI" w:cs="Segoe UI"/>
          <w:color w:val="8892A0"/>
          <w:sz w:val="18"/>
          <w:szCs w:val="18"/>
          <w:lang w:val="en"/>
        </w:rPr>
        <w:t>Prepared in support of the Requirements for Verifying the Lawfulness of Existing Water Use</w:t>
      </w:r>
      <w:r>
        <w:rPr>
          <w:rFonts w:ascii="Segoe UI" w:eastAsia="Times New Roman" w:hAnsi="Segoe UI" w:cs="Segoe UI"/>
          <w:color w:val="8892A0"/>
          <w:sz w:val="18"/>
          <w:szCs w:val="18"/>
          <w:lang w:val="en"/>
        </w:rPr>
        <w:br/>
        <w:t xml:space="preserve">and Extent of Existing Lawful Water Use, Edition 3, July 2024 (DWS) </w:t>
      </w:r>
    </w:p>
    <w:p w14:paraId="5E454E63"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t>Table of Contents</w:t>
      </w:r>
    </w:p>
    <w:p w14:paraId="23DD031C"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intro" w:history="1">
        <w:r>
          <w:rPr>
            <w:rStyle w:val="Hyperlink"/>
            <w:rFonts w:ascii="Segoe UI" w:eastAsia="Times New Roman" w:hAnsi="Segoe UI" w:cs="Segoe UI"/>
            <w:color w:val="0066B3"/>
            <w:sz w:val="22"/>
            <w:szCs w:val="22"/>
            <w:u w:val="none"/>
            <w:lang w:val="en"/>
          </w:rPr>
          <w:t>Introduction</w:t>
        </w:r>
      </w:hyperlink>
    </w:p>
    <w:p w14:paraId="70CD0629"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philosophy" w:history="1">
        <w:r>
          <w:rPr>
            <w:rStyle w:val="Hyperlink"/>
            <w:rFonts w:ascii="Segoe UI" w:eastAsia="Times New Roman" w:hAnsi="Segoe UI" w:cs="Segoe UI"/>
            <w:color w:val="0066B3"/>
            <w:sz w:val="22"/>
            <w:szCs w:val="22"/>
            <w:u w:val="none"/>
            <w:lang w:val="en"/>
          </w:rPr>
          <w:t>Design Philosophy</w:t>
        </w:r>
      </w:hyperlink>
    </w:p>
    <w:p w14:paraId="04724D8E"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workflow-state-machine" w:history="1">
        <w:r>
          <w:rPr>
            <w:rStyle w:val="Hyperlink"/>
            <w:rFonts w:ascii="Segoe UI" w:eastAsia="Times New Roman" w:hAnsi="Segoe UI" w:cs="Segoe UI"/>
            <w:color w:val="0066B3"/>
            <w:sz w:val="22"/>
            <w:szCs w:val="22"/>
            <w:u w:val="none"/>
            <w:lang w:val="en"/>
          </w:rPr>
          <w:t>The V&amp;V Workflow State Machine</w:t>
        </w:r>
      </w:hyperlink>
      <w:r>
        <w:rPr>
          <w:rFonts w:ascii="Segoe UI" w:eastAsia="Times New Roman" w:hAnsi="Segoe UI" w:cs="Segoe UI"/>
          <w:color w:val="1A1F2B"/>
          <w:sz w:val="22"/>
          <w:szCs w:val="22"/>
          <w:lang w:val="en"/>
        </w:rPr>
        <w:t xml:space="preserve"> </w:t>
      </w:r>
    </w:p>
    <w:p w14:paraId="30160166"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wf-overview" w:history="1">
        <w:r>
          <w:rPr>
            <w:rStyle w:val="Hyperlink"/>
            <w:rFonts w:ascii="Segoe UI" w:eastAsia="Times New Roman" w:hAnsi="Segoe UI" w:cs="Segoe UI"/>
            <w:color w:val="0066B3"/>
            <w:sz w:val="20"/>
            <w:szCs w:val="20"/>
            <w:u w:val="none"/>
            <w:lang w:val="en"/>
          </w:rPr>
          <w:t>Overview</w:t>
        </w:r>
      </w:hyperlink>
    </w:p>
    <w:p w14:paraId="57408477"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wf-inception" w:history="1">
        <w:r>
          <w:rPr>
            <w:rStyle w:val="Hyperlink"/>
            <w:rFonts w:ascii="Segoe UI" w:eastAsia="Times New Roman" w:hAnsi="Segoe UI" w:cs="Segoe UI"/>
            <w:color w:val="0066B3"/>
            <w:sz w:val="20"/>
            <w:szCs w:val="20"/>
            <w:u w:val="none"/>
            <w:lang w:val="en"/>
          </w:rPr>
          <w:t>Case Inception Phase</w:t>
        </w:r>
      </w:hyperlink>
    </w:p>
    <w:p w14:paraId="61269DF9"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wf-technical" w:history="1">
        <w:r>
          <w:rPr>
            <w:rStyle w:val="Hyperlink"/>
            <w:rFonts w:ascii="Segoe UI" w:eastAsia="Times New Roman" w:hAnsi="Segoe UI" w:cs="Segoe UI"/>
            <w:color w:val="0066B3"/>
            <w:sz w:val="20"/>
            <w:szCs w:val="20"/>
            <w:u w:val="none"/>
            <w:lang w:val="en"/>
          </w:rPr>
          <w:t>Technical Validation Phase</w:t>
        </w:r>
      </w:hyperlink>
    </w:p>
    <w:p w14:paraId="21874402"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wf-legal" w:history="1">
        <w:r>
          <w:rPr>
            <w:rStyle w:val="Hyperlink"/>
            <w:rFonts w:ascii="Segoe UI" w:eastAsia="Times New Roman" w:hAnsi="Segoe UI" w:cs="Segoe UI"/>
            <w:color w:val="0066B3"/>
            <w:sz w:val="20"/>
            <w:szCs w:val="20"/>
            <w:u w:val="none"/>
            <w:lang w:val="en"/>
          </w:rPr>
          <w:t>Legal Verification Phase</w:t>
        </w:r>
      </w:hyperlink>
    </w:p>
    <w:p w14:paraId="5D48BF71"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wf-statutory" w:history="1">
        <w:r>
          <w:rPr>
            <w:rStyle w:val="Hyperlink"/>
            <w:rFonts w:ascii="Segoe UI" w:eastAsia="Times New Roman" w:hAnsi="Segoe UI" w:cs="Segoe UI"/>
            <w:color w:val="0066B3"/>
            <w:sz w:val="20"/>
            <w:szCs w:val="20"/>
            <w:u w:val="none"/>
            <w:lang w:val="en"/>
          </w:rPr>
          <w:t>Statutory Procedure Phase</w:t>
        </w:r>
      </w:hyperlink>
    </w:p>
    <w:p w14:paraId="4AE52D2A"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wf-noncompliance" w:history="1">
        <w:r>
          <w:rPr>
            <w:rStyle w:val="Hyperlink"/>
            <w:rFonts w:ascii="Segoe UI" w:eastAsia="Times New Roman" w:hAnsi="Segoe UI" w:cs="Segoe UI"/>
            <w:color w:val="0066B3"/>
            <w:sz w:val="20"/>
            <w:szCs w:val="20"/>
            <w:u w:val="none"/>
            <w:lang w:val="en"/>
          </w:rPr>
          <w:t>Non-Compliance Branch</w:t>
        </w:r>
      </w:hyperlink>
    </w:p>
    <w:p w14:paraId="5502794D"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wf-guards" w:history="1">
        <w:r>
          <w:rPr>
            <w:rStyle w:val="Hyperlink"/>
            <w:rFonts w:ascii="Segoe UI" w:eastAsia="Times New Roman" w:hAnsi="Segoe UI" w:cs="Segoe UI"/>
            <w:color w:val="0066B3"/>
            <w:sz w:val="20"/>
            <w:szCs w:val="20"/>
            <w:u w:val="none"/>
            <w:lang w:val="en"/>
          </w:rPr>
          <w:t>Transition Guards</w:t>
        </w:r>
      </w:hyperlink>
    </w:p>
    <w:p w14:paraId="5AF45F08"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letter-workflow" w:history="1">
        <w:r>
          <w:rPr>
            <w:rStyle w:val="Hyperlink"/>
            <w:rFonts w:ascii="Segoe UI" w:eastAsia="Times New Roman" w:hAnsi="Segoe UI" w:cs="Segoe UI"/>
            <w:color w:val="0066B3"/>
            <w:sz w:val="22"/>
            <w:szCs w:val="22"/>
            <w:u w:val="none"/>
            <w:lang w:val="en"/>
          </w:rPr>
          <w:t>The Section 35 Letter Workflow</w:t>
        </w:r>
      </w:hyperlink>
      <w:r>
        <w:rPr>
          <w:rFonts w:ascii="Segoe UI" w:eastAsia="Times New Roman" w:hAnsi="Segoe UI" w:cs="Segoe UI"/>
          <w:color w:val="1A1F2B"/>
          <w:sz w:val="22"/>
          <w:szCs w:val="22"/>
          <w:lang w:val="en"/>
        </w:rPr>
        <w:t xml:space="preserve"> </w:t>
      </w:r>
    </w:p>
    <w:p w14:paraId="6BEE8A7F"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overview" w:history="1">
        <w:r>
          <w:rPr>
            <w:rStyle w:val="Hyperlink"/>
            <w:rFonts w:ascii="Segoe UI" w:eastAsia="Times New Roman" w:hAnsi="Segoe UI" w:cs="Segoe UI"/>
            <w:color w:val="0066B3"/>
            <w:sz w:val="20"/>
            <w:szCs w:val="20"/>
            <w:u w:val="none"/>
            <w:lang w:val="en"/>
          </w:rPr>
          <w:t>Overview</w:t>
        </w:r>
      </w:hyperlink>
    </w:p>
    <w:p w14:paraId="39442D1D"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letter1" w:history="1">
        <w:r>
          <w:rPr>
            <w:rStyle w:val="Hyperlink"/>
            <w:rFonts w:ascii="Segoe UI" w:eastAsia="Times New Roman" w:hAnsi="Segoe UI" w:cs="Segoe UI"/>
            <w:color w:val="0066B3"/>
            <w:sz w:val="20"/>
            <w:szCs w:val="20"/>
            <w:u w:val="none"/>
            <w:lang w:val="en"/>
          </w:rPr>
          <w:t>Letter 1: S35(1) Notice to Apply</w:t>
        </w:r>
      </w:hyperlink>
    </w:p>
    <w:p w14:paraId="0783787F"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letter1a" w:history="1">
        <w:r>
          <w:rPr>
            <w:rStyle w:val="Hyperlink"/>
            <w:rFonts w:ascii="Segoe UI" w:eastAsia="Times New Roman" w:hAnsi="Segoe UI" w:cs="Segoe UI"/>
            <w:color w:val="0066B3"/>
            <w:sz w:val="20"/>
            <w:szCs w:val="20"/>
            <w:u w:val="none"/>
            <w:lang w:val="en"/>
          </w:rPr>
          <w:t>Letter 1A: S53(1) Directive</w:t>
        </w:r>
      </w:hyperlink>
    </w:p>
    <w:p w14:paraId="59B25423"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letter2" w:history="1">
        <w:r>
          <w:rPr>
            <w:rStyle w:val="Hyperlink"/>
            <w:rFonts w:ascii="Segoe UI" w:eastAsia="Times New Roman" w:hAnsi="Segoe UI" w:cs="Segoe UI"/>
            <w:color w:val="0066B3"/>
            <w:sz w:val="20"/>
            <w:szCs w:val="20"/>
            <w:u w:val="none"/>
            <w:lang w:val="en"/>
          </w:rPr>
          <w:t>Letter 2: S35(3)(a) Request for Additional Information</w:t>
        </w:r>
      </w:hyperlink>
    </w:p>
    <w:p w14:paraId="29529ECE"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letter2a" w:history="1">
        <w:r>
          <w:rPr>
            <w:rStyle w:val="Hyperlink"/>
            <w:rFonts w:ascii="Segoe UI" w:eastAsia="Times New Roman" w:hAnsi="Segoe UI" w:cs="Segoe UI"/>
            <w:color w:val="0066B3"/>
            <w:sz w:val="20"/>
            <w:szCs w:val="20"/>
            <w:u w:val="none"/>
            <w:lang w:val="en"/>
          </w:rPr>
          <w:t>Letter 2A: S35(1) Directive for Information</w:t>
        </w:r>
      </w:hyperlink>
    </w:p>
    <w:p w14:paraId="61A30160"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letter3" w:history="1">
        <w:r>
          <w:rPr>
            <w:rStyle w:val="Hyperlink"/>
            <w:rFonts w:ascii="Segoe UI" w:eastAsia="Times New Roman" w:hAnsi="Segoe UI" w:cs="Segoe UI"/>
            <w:color w:val="0066B3"/>
            <w:sz w:val="20"/>
            <w:szCs w:val="20"/>
            <w:u w:val="none"/>
            <w:lang w:val="en"/>
          </w:rPr>
          <w:t>Letter 3: S35(4) ELU Confirmation</w:t>
        </w:r>
      </w:hyperlink>
    </w:p>
    <w:p w14:paraId="4578B716"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letter45" w:history="1">
        <w:r>
          <w:rPr>
            <w:rStyle w:val="Hyperlink"/>
            <w:rFonts w:ascii="Segoe UI" w:eastAsia="Times New Roman" w:hAnsi="Segoe UI" w:cs="Segoe UI"/>
            <w:color w:val="0066B3"/>
            <w:sz w:val="20"/>
            <w:szCs w:val="20"/>
            <w:u w:val="none"/>
            <w:lang w:val="en"/>
          </w:rPr>
          <w:t>Letters 4A and 4&amp;5: Enforcement</w:t>
        </w:r>
      </w:hyperlink>
    </w:p>
    <w:p w14:paraId="4314A075"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lw-ewulaas" w:history="1">
        <w:r>
          <w:rPr>
            <w:rStyle w:val="Hyperlink"/>
            <w:rFonts w:ascii="Segoe UI" w:eastAsia="Times New Roman" w:hAnsi="Segoe UI" w:cs="Segoe UI"/>
            <w:color w:val="0066B3"/>
            <w:sz w:val="20"/>
            <w:szCs w:val="20"/>
            <w:u w:val="none"/>
            <w:lang w:val="en"/>
          </w:rPr>
          <w:t>eWULAAS Integration</w:t>
        </w:r>
      </w:hyperlink>
    </w:p>
    <w:p w14:paraId="095C7DB3"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data-flow" w:history="1">
        <w:r>
          <w:rPr>
            <w:rStyle w:val="Hyperlink"/>
            <w:rFonts w:ascii="Segoe UI" w:eastAsia="Times New Roman" w:hAnsi="Segoe UI" w:cs="Segoe UI"/>
            <w:color w:val="0066B3"/>
            <w:sz w:val="22"/>
            <w:szCs w:val="22"/>
            <w:u w:val="none"/>
            <w:lang w:val="en"/>
          </w:rPr>
          <w:t>End-to-End Data Flow</w:t>
        </w:r>
      </w:hyperlink>
      <w:r>
        <w:rPr>
          <w:rFonts w:ascii="Segoe UI" w:eastAsia="Times New Roman" w:hAnsi="Segoe UI" w:cs="Segoe UI"/>
          <w:color w:val="1A1F2B"/>
          <w:sz w:val="22"/>
          <w:szCs w:val="22"/>
          <w:lang w:val="en"/>
        </w:rPr>
        <w:t xml:space="preserve"> </w:t>
      </w:r>
    </w:p>
    <w:p w14:paraId="3C4F03A9"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df-overview" w:history="1">
        <w:r>
          <w:rPr>
            <w:rStyle w:val="Hyperlink"/>
            <w:rFonts w:ascii="Segoe UI" w:eastAsia="Times New Roman" w:hAnsi="Segoe UI" w:cs="Segoe UI"/>
            <w:color w:val="0066B3"/>
            <w:sz w:val="20"/>
            <w:szCs w:val="20"/>
            <w:u w:val="none"/>
            <w:lang w:val="en"/>
          </w:rPr>
          <w:t>System Architecture Overview</w:t>
        </w:r>
      </w:hyperlink>
    </w:p>
    <w:p w14:paraId="3E4C36BF"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df-external" w:history="1">
        <w:r>
          <w:rPr>
            <w:rStyle w:val="Hyperlink"/>
            <w:rFonts w:ascii="Segoe UI" w:eastAsia="Times New Roman" w:hAnsi="Segoe UI" w:cs="Segoe UI"/>
            <w:color w:val="0066B3"/>
            <w:sz w:val="20"/>
            <w:szCs w:val="20"/>
            <w:u w:val="none"/>
            <w:lang w:val="en"/>
          </w:rPr>
          <w:t>External System Integration</w:t>
        </w:r>
      </w:hyperlink>
    </w:p>
    <w:p w14:paraId="0CDD1AC0"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df-phases" w:history="1">
        <w:r>
          <w:rPr>
            <w:rStyle w:val="Hyperlink"/>
            <w:rFonts w:ascii="Segoe UI" w:eastAsia="Times New Roman" w:hAnsi="Segoe UI" w:cs="Segoe UI"/>
            <w:color w:val="0066B3"/>
            <w:sz w:val="20"/>
            <w:szCs w:val="20"/>
            <w:u w:val="none"/>
            <w:lang w:val="en"/>
          </w:rPr>
          <w:t>The Three V&amp;V Phases</w:t>
        </w:r>
      </w:hyperlink>
    </w:p>
    <w:p w14:paraId="1957F7AB"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df-engines" w:history="1">
        <w:r>
          <w:rPr>
            <w:rStyle w:val="Hyperlink"/>
            <w:rFonts w:ascii="Segoe UI" w:eastAsia="Times New Roman" w:hAnsi="Segoe UI" w:cs="Segoe UI"/>
            <w:color w:val="0066B3"/>
            <w:sz w:val="20"/>
            <w:szCs w:val="20"/>
            <w:u w:val="none"/>
            <w:lang w:val="en"/>
          </w:rPr>
          <w:t>The Engine Layer</w:t>
        </w:r>
      </w:hyperlink>
    </w:p>
    <w:p w14:paraId="5EC50C46"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df-services" w:history="1">
        <w:r>
          <w:rPr>
            <w:rStyle w:val="Hyperlink"/>
            <w:rFonts w:ascii="Segoe UI" w:eastAsia="Times New Roman" w:hAnsi="Segoe UI" w:cs="Segoe UI"/>
            <w:color w:val="0066B3"/>
            <w:sz w:val="20"/>
            <w:szCs w:val="20"/>
            <w:u w:val="none"/>
            <w:lang w:val="en"/>
          </w:rPr>
          <w:t>Service and Repository Layers</w:t>
        </w:r>
      </w:hyperlink>
    </w:p>
    <w:p w14:paraId="4874B943"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df-schema" w:history="1">
        <w:r>
          <w:rPr>
            <w:rStyle w:val="Hyperlink"/>
            <w:rFonts w:ascii="Segoe UI" w:eastAsia="Times New Roman" w:hAnsi="Segoe UI" w:cs="Segoe UI"/>
            <w:color w:val="0066B3"/>
            <w:sz w:val="20"/>
            <w:szCs w:val="20"/>
            <w:u w:val="none"/>
            <w:lang w:val="en"/>
          </w:rPr>
          <w:t>Database Schema Groups</w:t>
        </w:r>
      </w:hyperlink>
    </w:p>
    <w:p w14:paraId="40F42564"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signature-flow" w:history="1">
        <w:r>
          <w:rPr>
            <w:rStyle w:val="Hyperlink"/>
            <w:rFonts w:ascii="Segoe UI" w:eastAsia="Times New Roman" w:hAnsi="Segoe UI" w:cs="Segoe UI"/>
            <w:color w:val="0066B3"/>
            <w:sz w:val="22"/>
            <w:szCs w:val="22"/>
            <w:u w:val="none"/>
            <w:lang w:val="en"/>
          </w:rPr>
          <w:t>Electronic Signature Flow</w:t>
        </w:r>
      </w:hyperlink>
      <w:r>
        <w:rPr>
          <w:rFonts w:ascii="Segoe UI" w:eastAsia="Times New Roman" w:hAnsi="Segoe UI" w:cs="Segoe UI"/>
          <w:color w:val="1A1F2B"/>
          <w:sz w:val="22"/>
          <w:szCs w:val="22"/>
          <w:lang w:val="en"/>
        </w:rPr>
        <w:t xml:space="preserve"> </w:t>
      </w:r>
    </w:p>
    <w:p w14:paraId="714B564D"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sf-overview" w:history="1">
        <w:r>
          <w:rPr>
            <w:rStyle w:val="Hyperlink"/>
            <w:rFonts w:ascii="Segoe UI" w:eastAsia="Times New Roman" w:hAnsi="Segoe UI" w:cs="Segoe UI"/>
            <w:color w:val="0066B3"/>
            <w:sz w:val="20"/>
            <w:szCs w:val="20"/>
            <w:u w:val="none"/>
            <w:lang w:val="en"/>
          </w:rPr>
          <w:t>Overview</w:t>
        </w:r>
      </w:hyperlink>
    </w:p>
    <w:p w14:paraId="723AB42B"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sf-request" w:history="1">
        <w:r>
          <w:rPr>
            <w:rStyle w:val="Hyperlink"/>
            <w:rFonts w:ascii="Segoe UI" w:eastAsia="Times New Roman" w:hAnsi="Segoe UI" w:cs="Segoe UI"/>
            <w:color w:val="0066B3"/>
            <w:sz w:val="20"/>
            <w:szCs w:val="20"/>
            <w:u w:val="none"/>
            <w:lang w:val="en"/>
          </w:rPr>
          <w:t>Signature Request Creation</w:t>
        </w:r>
      </w:hyperlink>
    </w:p>
    <w:p w14:paraId="511EBA8C"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sf-routing" w:history="1">
        <w:r>
          <w:rPr>
            <w:rStyle w:val="Hyperlink"/>
            <w:rFonts w:ascii="Segoe UI" w:eastAsia="Times New Roman" w:hAnsi="Segoe UI" w:cs="Segoe UI"/>
            <w:color w:val="0066B3"/>
            <w:sz w:val="20"/>
            <w:szCs w:val="20"/>
            <w:u w:val="none"/>
            <w:lang w:val="en"/>
          </w:rPr>
          <w:t>Notification Routing</w:t>
        </w:r>
      </w:hyperlink>
    </w:p>
    <w:p w14:paraId="22E7807A"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sf-capture" w:history="1">
        <w:r>
          <w:rPr>
            <w:rStyle w:val="Hyperlink"/>
            <w:rFonts w:ascii="Segoe UI" w:eastAsia="Times New Roman" w:hAnsi="Segoe UI" w:cs="Segoe UI"/>
            <w:color w:val="0066B3"/>
            <w:sz w:val="20"/>
            <w:szCs w:val="20"/>
            <w:u w:val="none"/>
            <w:lang w:val="en"/>
          </w:rPr>
          <w:t>Signature Capture</w:t>
        </w:r>
      </w:hyperlink>
    </w:p>
    <w:p w14:paraId="26388637"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sf-verify" w:history="1">
        <w:r>
          <w:rPr>
            <w:rStyle w:val="Hyperlink"/>
            <w:rFonts w:ascii="Segoe UI" w:eastAsia="Times New Roman" w:hAnsi="Segoe UI" w:cs="Segoe UI"/>
            <w:color w:val="0066B3"/>
            <w:sz w:val="20"/>
            <w:szCs w:val="20"/>
            <w:u w:val="none"/>
            <w:lang w:val="en"/>
          </w:rPr>
          <w:t>Verification and Storage</w:t>
        </w:r>
      </w:hyperlink>
    </w:p>
    <w:p w14:paraId="6181A0CE"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sf-post" w:history="1">
        <w:r>
          <w:rPr>
            <w:rStyle w:val="Hyperlink"/>
            <w:rFonts w:ascii="Segoe UI" w:eastAsia="Times New Roman" w:hAnsi="Segoe UI" w:cs="Segoe UI"/>
            <w:color w:val="0066B3"/>
            <w:sz w:val="20"/>
            <w:szCs w:val="20"/>
            <w:u w:val="none"/>
            <w:lang w:val="en"/>
          </w:rPr>
          <w:t>Post-Signing</w:t>
        </w:r>
      </w:hyperlink>
    </w:p>
    <w:p w14:paraId="4502DAD9" w14:textId="77777777" w:rsidR="00000000" w:rsidRDefault="00000000">
      <w:pPr>
        <w:numPr>
          <w:ilvl w:val="1"/>
          <w:numId w:val="1"/>
        </w:numPr>
        <w:spacing w:before="100" w:beforeAutospacing="1" w:after="100" w:afterAutospacing="1"/>
        <w:rPr>
          <w:rFonts w:ascii="Segoe UI" w:eastAsia="Times New Roman" w:hAnsi="Segoe UI" w:cs="Segoe UI"/>
          <w:color w:val="1A1F2B"/>
          <w:sz w:val="20"/>
          <w:szCs w:val="20"/>
          <w:lang w:val="en"/>
        </w:rPr>
      </w:pPr>
      <w:hyperlink w:anchor="sf-legal" w:history="1">
        <w:r>
          <w:rPr>
            <w:rStyle w:val="Hyperlink"/>
            <w:rFonts w:ascii="Segoe UI" w:eastAsia="Times New Roman" w:hAnsi="Segoe UI" w:cs="Segoe UI"/>
            <w:color w:val="0066B3"/>
            <w:sz w:val="20"/>
            <w:szCs w:val="20"/>
            <w:u w:val="none"/>
            <w:lang w:val="en"/>
          </w:rPr>
          <w:t>Legal Compliance</w:t>
        </w:r>
      </w:hyperlink>
    </w:p>
    <w:p w14:paraId="199292C6"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patterns" w:history="1">
        <w:r>
          <w:rPr>
            <w:rStyle w:val="Hyperlink"/>
            <w:rFonts w:ascii="Segoe UI" w:eastAsia="Times New Roman" w:hAnsi="Segoe UI" w:cs="Segoe UI"/>
            <w:color w:val="0066B3"/>
            <w:sz w:val="22"/>
            <w:szCs w:val="22"/>
            <w:u w:val="none"/>
            <w:lang w:val="en"/>
          </w:rPr>
          <w:t>Design Patterns Summary</w:t>
        </w:r>
      </w:hyperlink>
    </w:p>
    <w:p w14:paraId="27156489" w14:textId="77777777" w:rsidR="00000000" w:rsidRDefault="00000000">
      <w:pPr>
        <w:numPr>
          <w:ilvl w:val="0"/>
          <w:numId w:val="1"/>
        </w:numPr>
        <w:spacing w:before="100" w:beforeAutospacing="1" w:after="100" w:afterAutospacing="1" w:line="480" w:lineRule="auto"/>
        <w:rPr>
          <w:rFonts w:ascii="Segoe UI" w:eastAsia="Times New Roman" w:hAnsi="Segoe UI" w:cs="Segoe UI"/>
          <w:color w:val="1A1F2B"/>
          <w:sz w:val="22"/>
          <w:szCs w:val="22"/>
          <w:lang w:val="en"/>
        </w:rPr>
      </w:pPr>
      <w:hyperlink w:anchor="next-steps" w:history="1">
        <w:r>
          <w:rPr>
            <w:rStyle w:val="Hyperlink"/>
            <w:rFonts w:ascii="Segoe UI" w:eastAsia="Times New Roman" w:hAnsi="Segoe UI" w:cs="Segoe UI"/>
            <w:color w:val="0066B3"/>
            <w:sz w:val="22"/>
            <w:szCs w:val="22"/>
            <w:u w:val="none"/>
            <w:lang w:val="en"/>
          </w:rPr>
          <w:t>Next Steps</w:t>
        </w:r>
      </w:hyperlink>
    </w:p>
    <w:p w14:paraId="7ABEB4DB"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t>1. Introduction</w:t>
      </w:r>
    </w:p>
    <w:p w14:paraId="012D34A4"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Validation and Verification (V&amp;V) of existing lawful water use is a statutory obligation under Sections 32–35 of the National Water Act (Act 36 of 1998). The Department of Water and Sanitation (DWS) is required to verify the lawfulness and extent of all existing water use across South Africa, encompassing approximately </w:t>
      </w:r>
      <w:r>
        <w:rPr>
          <w:rStyle w:val="Strong"/>
          <w:rFonts w:ascii="Segoe UI" w:hAnsi="Segoe UI" w:cs="Segoe UI"/>
          <w:color w:val="1A1F2B"/>
          <w:sz w:val="22"/>
          <w:szCs w:val="22"/>
          <w:lang w:val="en"/>
        </w:rPr>
        <w:t>500,000 property records</w:t>
      </w:r>
      <w:r>
        <w:rPr>
          <w:rFonts w:ascii="Segoe UI" w:hAnsi="Segoe UI" w:cs="Segoe UI"/>
          <w:color w:val="1A1F2B"/>
          <w:sz w:val="22"/>
          <w:szCs w:val="22"/>
          <w:lang w:val="en"/>
        </w:rPr>
        <w:t xml:space="preserve"> managed by DWS regional offices and Catchment Management Agencies (CMAs) across 19 Water Management Areas. </w:t>
      </w:r>
    </w:p>
    <w:p w14:paraId="3E492D74"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DWA V&amp;V System is an electronic information management system designed to digitise, automate, and enforce the V&amp;V process. At its core is the </w:t>
      </w:r>
      <w:r>
        <w:rPr>
          <w:rStyle w:val="Strong"/>
          <w:rFonts w:ascii="Segoe UI" w:hAnsi="Segoe UI" w:cs="Segoe UI"/>
          <w:color w:val="1A1F2B"/>
          <w:sz w:val="22"/>
          <w:szCs w:val="22"/>
          <w:lang w:val="en"/>
        </w:rPr>
        <w:t>Workflow Engine</w:t>
      </w:r>
      <w:r>
        <w:rPr>
          <w:rFonts w:ascii="Segoe UI" w:hAnsi="Segoe UI" w:cs="Segoe UI"/>
          <w:color w:val="1A1F2B"/>
          <w:sz w:val="22"/>
          <w:szCs w:val="22"/>
          <w:lang w:val="en"/>
        </w:rPr>
        <w:t xml:space="preserve"> — a state machine that governs the lifecycle of every case file (FileMaster) from initial inception through technical evaluation, legal verification, statutory correspondence under Section 35, and final determination of Existing Lawful Use (ELU). </w:t>
      </w:r>
    </w:p>
    <w:p w14:paraId="186185A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This document provides a comprehensive specification of the four principal workflows within the system: </w:t>
      </w:r>
    </w:p>
    <w:p w14:paraId="704FF8D4" w14:textId="77777777" w:rsidR="00000000" w:rsidRDefault="00000000">
      <w:pPr>
        <w:numPr>
          <w:ilvl w:val="0"/>
          <w:numId w:val="2"/>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 xml:space="preserve">The </w:t>
      </w:r>
      <w:r>
        <w:rPr>
          <w:rStyle w:val="Strong"/>
          <w:rFonts w:ascii="Segoe UI" w:eastAsia="Times New Roman" w:hAnsi="Segoe UI" w:cs="Segoe UI"/>
          <w:color w:val="1A1F2B"/>
          <w:sz w:val="22"/>
          <w:szCs w:val="22"/>
          <w:lang w:val="en"/>
        </w:rPr>
        <w:t>V&amp;V Workflow State Machine</w:t>
      </w:r>
      <w:r>
        <w:rPr>
          <w:rFonts w:ascii="Segoe UI" w:eastAsia="Times New Roman" w:hAnsi="Segoe UI" w:cs="Segoe UI"/>
          <w:color w:val="1A1F2B"/>
          <w:sz w:val="22"/>
          <w:szCs w:val="22"/>
          <w:lang w:val="en"/>
        </w:rPr>
        <w:t xml:space="preserve"> — the master process governing all control point transitions</w:t>
      </w:r>
    </w:p>
    <w:p w14:paraId="4709D593" w14:textId="77777777" w:rsidR="00000000" w:rsidRDefault="00000000">
      <w:pPr>
        <w:numPr>
          <w:ilvl w:val="0"/>
          <w:numId w:val="2"/>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lastRenderedPageBreak/>
        <w:t xml:space="preserve">The </w:t>
      </w:r>
      <w:r>
        <w:rPr>
          <w:rStyle w:val="Strong"/>
          <w:rFonts w:ascii="Segoe UI" w:eastAsia="Times New Roman" w:hAnsi="Segoe UI" w:cs="Segoe UI"/>
          <w:color w:val="1A1F2B"/>
          <w:sz w:val="22"/>
          <w:szCs w:val="22"/>
          <w:lang w:val="en"/>
        </w:rPr>
        <w:t>Section 35 Letter Workflow</w:t>
      </w:r>
      <w:r>
        <w:rPr>
          <w:rFonts w:ascii="Segoe UI" w:eastAsia="Times New Roman" w:hAnsi="Segoe UI" w:cs="Segoe UI"/>
          <w:color w:val="1A1F2B"/>
          <w:sz w:val="22"/>
          <w:szCs w:val="22"/>
          <w:lang w:val="en"/>
        </w:rPr>
        <w:t xml:space="preserve"> — a nested state machine for statutory correspondence</w:t>
      </w:r>
    </w:p>
    <w:p w14:paraId="5F534C48" w14:textId="77777777" w:rsidR="00000000" w:rsidRDefault="00000000">
      <w:pPr>
        <w:numPr>
          <w:ilvl w:val="0"/>
          <w:numId w:val="2"/>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 xml:space="preserve">The </w:t>
      </w:r>
      <w:r>
        <w:rPr>
          <w:rStyle w:val="Strong"/>
          <w:rFonts w:ascii="Segoe UI" w:eastAsia="Times New Roman" w:hAnsi="Segoe UI" w:cs="Segoe UI"/>
          <w:color w:val="1A1F2B"/>
          <w:sz w:val="22"/>
          <w:szCs w:val="22"/>
          <w:lang w:val="en"/>
        </w:rPr>
        <w:t>End-to-End Data Flow</w:t>
      </w:r>
      <w:r>
        <w:rPr>
          <w:rFonts w:ascii="Segoe UI" w:eastAsia="Times New Roman" w:hAnsi="Segoe UI" w:cs="Segoe UI"/>
          <w:color w:val="1A1F2B"/>
          <w:sz w:val="22"/>
          <w:szCs w:val="22"/>
          <w:lang w:val="en"/>
        </w:rPr>
        <w:t xml:space="preserve"> — from external systems through processing engines to final output</w:t>
      </w:r>
    </w:p>
    <w:p w14:paraId="19A244DE" w14:textId="77777777" w:rsidR="00000000" w:rsidRDefault="00000000">
      <w:pPr>
        <w:numPr>
          <w:ilvl w:val="0"/>
          <w:numId w:val="2"/>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 xml:space="preserve">The </w:t>
      </w:r>
      <w:r>
        <w:rPr>
          <w:rStyle w:val="Strong"/>
          <w:rFonts w:ascii="Segoe UI" w:eastAsia="Times New Roman" w:hAnsi="Segoe UI" w:cs="Segoe UI"/>
          <w:color w:val="1A1F2B"/>
          <w:sz w:val="22"/>
          <w:szCs w:val="22"/>
          <w:lang w:val="en"/>
        </w:rPr>
        <w:t>Electronic Signature Flow</w:t>
      </w:r>
      <w:r>
        <w:rPr>
          <w:rFonts w:ascii="Segoe UI" w:eastAsia="Times New Roman" w:hAnsi="Segoe UI" w:cs="Segoe UI"/>
          <w:color w:val="1A1F2B"/>
          <w:sz w:val="22"/>
          <w:szCs w:val="22"/>
          <w:lang w:val="en"/>
        </w:rPr>
        <w:t xml:space="preserve"> — dual-path signing for internal officials and external water users</w:t>
      </w:r>
    </w:p>
    <w:p w14:paraId="0138C2E8" w14:textId="77777777" w:rsidR="00000000" w:rsidRDefault="00000000">
      <w:pPr>
        <w:shd w:val="clear" w:color="auto" w:fill="F0F6FC"/>
        <w:divId w:val="1693917462"/>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Governing Requirements</w:t>
      </w:r>
    </w:p>
    <w:p w14:paraId="7999F1FB" w14:textId="77777777" w:rsidR="00000000" w:rsidRDefault="00000000">
      <w:pPr>
        <w:shd w:val="clear" w:color="auto" w:fill="F0F6FC"/>
        <w:divId w:val="1777098002"/>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All workflows in this document are designed to comply with the </w:t>
      </w:r>
      <w:r>
        <w:rPr>
          <w:rStyle w:val="Emphasis"/>
          <w:rFonts w:ascii="Segoe UI" w:eastAsia="Times New Roman" w:hAnsi="Segoe UI" w:cs="Segoe UI"/>
          <w:color w:val="1A1F2B"/>
          <w:sz w:val="20"/>
          <w:szCs w:val="20"/>
          <w:lang w:val="en"/>
        </w:rPr>
        <w:t>Requirements for Verifying the Lawfulness of Existing Water Use and Extent of Existing Lawful Water Use, Edition 3, July 2024</w:t>
      </w:r>
      <w:r>
        <w:rPr>
          <w:rFonts w:ascii="Segoe UI" w:eastAsia="Times New Roman" w:hAnsi="Segoe UI" w:cs="Segoe UI"/>
          <w:color w:val="1A1F2B"/>
          <w:sz w:val="20"/>
          <w:szCs w:val="20"/>
          <w:lang w:val="en"/>
        </w:rPr>
        <w:t xml:space="preserve"> (DWS). The target completion date for the national V&amp;V programme is 2026. </w:t>
      </w:r>
    </w:p>
    <w:p w14:paraId="21E510C4"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t>2. Design Philosophy</w:t>
      </w:r>
    </w:p>
    <w:p w14:paraId="6BC0E154"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State Machine Pattern</w:t>
      </w:r>
    </w:p>
    <w:p w14:paraId="61914135"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workflow engine is built on a </w:t>
      </w:r>
      <w:r>
        <w:rPr>
          <w:rStyle w:val="Strong"/>
          <w:rFonts w:ascii="Segoe UI" w:hAnsi="Segoe UI" w:cs="Segoe UI"/>
          <w:color w:val="1A1F2B"/>
          <w:sz w:val="22"/>
          <w:szCs w:val="22"/>
          <w:lang w:val="en"/>
        </w:rPr>
        <w:t>finite state machine</w:t>
      </w:r>
      <w:r>
        <w:rPr>
          <w:rFonts w:ascii="Segoe UI" w:hAnsi="Segoe UI" w:cs="Segoe UI"/>
          <w:color w:val="1A1F2B"/>
          <w:sz w:val="22"/>
          <w:szCs w:val="22"/>
          <w:lang w:val="en"/>
        </w:rPr>
        <w:t xml:space="preserve"> pattern. Every FileMaster case exists in exactly one state at any given time, and may only transition to a defined set of successor states. This design was chosen for three fundamental reasons: </w:t>
      </w:r>
    </w:p>
    <w:p w14:paraId="1C7F8B76" w14:textId="77777777" w:rsidR="00000000" w:rsidRDefault="00000000">
      <w:pPr>
        <w:numPr>
          <w:ilvl w:val="0"/>
          <w:numId w:val="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Deterministic:</w:t>
      </w:r>
      <w:r>
        <w:rPr>
          <w:rFonts w:ascii="Segoe UI" w:eastAsia="Times New Roman" w:hAnsi="Segoe UI" w:cs="Segoe UI"/>
          <w:color w:val="1A1F2B"/>
          <w:sz w:val="22"/>
          <w:szCs w:val="22"/>
          <w:lang w:val="en"/>
        </w:rPr>
        <w:t xml:space="preserve"> Given a current state and a transition request, the outcome is always predictable. There are no ambiguous or race-condition-prone paths through the process.</w:t>
      </w:r>
    </w:p>
    <w:p w14:paraId="6415F559" w14:textId="77777777" w:rsidR="00000000" w:rsidRDefault="00000000">
      <w:pPr>
        <w:numPr>
          <w:ilvl w:val="0"/>
          <w:numId w:val="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Auditable:</w:t>
      </w:r>
      <w:r>
        <w:rPr>
          <w:rFonts w:ascii="Segoe UI" w:eastAsia="Times New Roman" w:hAnsi="Segoe UI" w:cs="Segoe UI"/>
          <w:color w:val="1A1F2B"/>
          <w:sz w:val="22"/>
          <w:szCs w:val="22"/>
          <w:lang w:val="en"/>
        </w:rPr>
        <w:t xml:space="preserve"> Every state transition is recorded as an immutable audit entry, capturing the user, timestamp, previous state, new state, and reason. This provides a complete forensic trail for any case.</w:t>
      </w:r>
    </w:p>
    <w:p w14:paraId="39723C1C" w14:textId="77777777" w:rsidR="00000000" w:rsidRDefault="00000000">
      <w:pPr>
        <w:numPr>
          <w:ilvl w:val="0"/>
          <w:numId w:val="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Enforceable:</w:t>
      </w:r>
      <w:r>
        <w:rPr>
          <w:rFonts w:ascii="Segoe UI" w:eastAsia="Times New Roman" w:hAnsi="Segoe UI" w:cs="Segoe UI"/>
          <w:color w:val="1A1F2B"/>
          <w:sz w:val="22"/>
          <w:szCs w:val="22"/>
          <w:lang w:val="en"/>
        </w:rPr>
        <w:t xml:space="preserve"> The state machine prevents out-of-order operations. A case cannot reach the Section 35 letter phase without first completing all nine control points, and each control point has verifiable preconditions.</w:t>
      </w:r>
    </w:p>
    <w:p w14:paraId="6E78E3C6"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The Guard Pattern (ITransitionGuard)</w:t>
      </w:r>
    </w:p>
    <w:p w14:paraId="2EC70875"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Each state transition is protected by one or more </w:t>
      </w:r>
      <w:r>
        <w:rPr>
          <w:rStyle w:val="Strong"/>
          <w:rFonts w:ascii="Segoe UI" w:hAnsi="Segoe UI" w:cs="Segoe UI"/>
          <w:color w:val="1A1F2B"/>
          <w:sz w:val="22"/>
          <w:szCs w:val="22"/>
          <w:lang w:val="en"/>
        </w:rPr>
        <w:t>transition guards</w:t>
      </w:r>
      <w:r>
        <w:rPr>
          <w:rFonts w:ascii="Segoe UI" w:hAnsi="Segoe UI" w:cs="Segoe UI"/>
          <w:color w:val="1A1F2B"/>
          <w:sz w:val="22"/>
          <w:szCs w:val="22"/>
          <w:lang w:val="en"/>
        </w:rPr>
        <w:t xml:space="preserve"> — implementations of the </w:t>
      </w:r>
      <w:r>
        <w:rPr>
          <w:rStyle w:val="HTMLCode"/>
          <w:color w:val="1A1F2B"/>
          <w:lang w:val="en"/>
        </w:rPr>
        <w:t>ITransitionGuard</w:t>
      </w:r>
      <w:r>
        <w:rPr>
          <w:rFonts w:ascii="Segoe UI" w:hAnsi="Segoe UI" w:cs="Segoe UI"/>
          <w:color w:val="1A1F2B"/>
          <w:sz w:val="22"/>
          <w:szCs w:val="22"/>
          <w:lang w:val="en"/>
        </w:rPr>
        <w:t xml:space="preserve"> interface. Guards are checked in sequence before any transition is permitted. A guard may verify that required data is present (e.g., SAPWAT calculations exist for CP6), that the requesting user holds the correct role (e.g., only </w:t>
      </w:r>
      <w:r>
        <w:rPr>
          <w:rStyle w:val="HTMLCode"/>
          <w:color w:val="1A1F2B"/>
          <w:lang w:val="en"/>
        </w:rPr>
        <w:t>RegionalManager</w:t>
      </w:r>
      <w:r>
        <w:rPr>
          <w:rFonts w:ascii="Segoe UI" w:hAnsi="Segoe UI" w:cs="Segoe UI"/>
          <w:color w:val="1A1F2B"/>
          <w:sz w:val="22"/>
          <w:szCs w:val="22"/>
          <w:lang w:val="en"/>
        </w:rPr>
        <w:t xml:space="preserve"> or above may approve Section 35 letters), or that business rules are satisfied (e.g., dam calculations are present or explicitly marked as not applicable). </w:t>
      </w:r>
    </w:p>
    <w:p w14:paraId="249C4F24"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Immutable Audit Trail</w:t>
      </w:r>
    </w:p>
    <w:p w14:paraId="1B94DB5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w:t>
      </w:r>
      <w:r>
        <w:rPr>
          <w:rStyle w:val="HTMLCode"/>
          <w:color w:val="1A1F2B"/>
          <w:lang w:val="en"/>
        </w:rPr>
        <w:t>AuditEntry</w:t>
      </w:r>
      <w:r>
        <w:rPr>
          <w:rFonts w:ascii="Segoe UI" w:hAnsi="Segoe UI" w:cs="Segoe UI"/>
          <w:color w:val="1A1F2B"/>
          <w:sz w:val="22"/>
          <w:szCs w:val="22"/>
          <w:lang w:val="en"/>
        </w:rPr>
        <w:t xml:space="preserve"> table is append-only. Records are never updated or deleted. Each entry captures: the acting user, the action performed, the entity affected, the previous and new state values, a </w:t>
      </w:r>
      <w:r>
        <w:rPr>
          <w:rFonts w:ascii="Segoe UI" w:hAnsi="Segoe UI" w:cs="Segoe UI"/>
          <w:color w:val="1A1F2B"/>
          <w:sz w:val="22"/>
          <w:szCs w:val="22"/>
          <w:lang w:val="en"/>
        </w:rPr>
        <w:lastRenderedPageBreak/>
        <w:t xml:space="preserve">timestamp, and additional metadata. This log provides the evidentiary basis for any legal challenge to a V&amp;V determination. </w:t>
      </w:r>
    </w:p>
    <w:p w14:paraId="38B05CF9"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Domain Events and Notifications</w:t>
      </w:r>
    </w:p>
    <w:p w14:paraId="60EB7C4B"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Successful state transitions raise </w:t>
      </w:r>
      <w:r>
        <w:rPr>
          <w:rStyle w:val="Strong"/>
          <w:rFonts w:ascii="Segoe UI" w:hAnsi="Segoe UI" w:cs="Segoe UI"/>
          <w:color w:val="1A1F2B"/>
          <w:sz w:val="22"/>
          <w:szCs w:val="22"/>
          <w:lang w:val="en"/>
        </w:rPr>
        <w:t>domain events</w:t>
      </w:r>
      <w:r>
        <w:rPr>
          <w:rFonts w:ascii="Segoe UI" w:hAnsi="Segoe UI" w:cs="Segoe UI"/>
          <w:color w:val="1A1F2B"/>
          <w:sz w:val="22"/>
          <w:szCs w:val="22"/>
          <w:lang w:val="en"/>
        </w:rPr>
        <w:t xml:space="preserve"> that are consumed by the </w:t>
      </w:r>
      <w:r>
        <w:rPr>
          <w:rStyle w:val="HTMLCode"/>
          <w:color w:val="1A1F2B"/>
          <w:lang w:val="en"/>
        </w:rPr>
        <w:t>NotificationService</w:t>
      </w:r>
      <w:r>
        <w:rPr>
          <w:rFonts w:ascii="Segoe UI" w:hAnsi="Segoe UI" w:cs="Segoe UI"/>
          <w:color w:val="1A1F2B"/>
          <w:sz w:val="22"/>
          <w:szCs w:val="22"/>
          <w:lang w:val="en"/>
        </w:rPr>
        <w:t xml:space="preserve">. This decoupled, event-driven architecture ensures that notifications (email, in-app, SMS) are triggered automatically without the workflow engine needing direct knowledge of the notification mechanism. For example, when a Letter 1 transitions to </w:t>
      </w:r>
      <w:r>
        <w:rPr>
          <w:rStyle w:val="Emphasis"/>
          <w:rFonts w:ascii="Segoe UI" w:hAnsi="Segoe UI" w:cs="Segoe UI"/>
          <w:color w:val="1A1F2B"/>
          <w:sz w:val="22"/>
          <w:szCs w:val="22"/>
          <w:lang w:val="en"/>
        </w:rPr>
        <w:t>Issued</w:t>
      </w:r>
      <w:r>
        <w:rPr>
          <w:rFonts w:ascii="Segoe UI" w:hAnsi="Segoe UI" w:cs="Segoe UI"/>
          <w:color w:val="1A1F2B"/>
          <w:sz w:val="22"/>
          <w:szCs w:val="22"/>
          <w:lang w:val="en"/>
        </w:rPr>
        <w:t xml:space="preserve">, a </w:t>
      </w:r>
      <w:r>
        <w:rPr>
          <w:rStyle w:val="HTMLCode"/>
          <w:color w:val="1A1F2B"/>
          <w:lang w:val="en"/>
        </w:rPr>
        <w:t>LetterIssuedEvent</w:t>
      </w:r>
      <w:r>
        <w:rPr>
          <w:rFonts w:ascii="Segoe UI" w:hAnsi="Segoe UI" w:cs="Segoe UI"/>
          <w:color w:val="1A1F2B"/>
          <w:sz w:val="22"/>
          <w:szCs w:val="22"/>
          <w:lang w:val="en"/>
        </w:rPr>
        <w:t xml:space="preserve"> is raised, which the notification service consumes to alert the relevant water user and the case validator. </w:t>
      </w:r>
    </w:p>
    <w:p w14:paraId="450C4028" w14:textId="77777777" w:rsidR="00000000" w:rsidRDefault="00000000">
      <w:pPr>
        <w:shd w:val="clear" w:color="auto" w:fill="F0F6FC"/>
        <w:divId w:val="1632323149"/>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Separation of Concerns</w:t>
      </w:r>
    </w:p>
    <w:p w14:paraId="0206227D" w14:textId="77777777" w:rsidR="00000000" w:rsidRDefault="00000000">
      <w:pPr>
        <w:shd w:val="clear" w:color="auto" w:fill="F0F6FC"/>
        <w:divId w:val="106893791"/>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The workflow engine is responsible solely for state management and guard evaluation. All side effects — notifications, PDF generation, audit logging, integration updates — are handled by dedicated services listening to domain events. </w:t>
      </w:r>
    </w:p>
    <w:p w14:paraId="4065D4BA"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lastRenderedPageBreak/>
        <w:t>3. The V&amp;V Workflow State Machine</w:t>
      </w:r>
    </w:p>
    <w:p w14:paraId="16A8D765" w14:textId="3723EAF4" w:rsidR="00AF24FB" w:rsidRDefault="00AF24FB">
      <w:pPr>
        <w:pStyle w:val="Heading1"/>
        <w:rPr>
          <w:rFonts w:ascii="Segoe UI" w:eastAsia="Times New Roman" w:hAnsi="Segoe UI" w:cs="Segoe UI"/>
          <w:lang w:val="en"/>
        </w:rPr>
      </w:pPr>
      <w:r w:rsidRPr="00AF24FB">
        <w:rPr>
          <w:rFonts w:ascii="Segoe UI" w:eastAsia="Times New Roman" w:hAnsi="Segoe UI" w:cs="Segoe UI"/>
          <w:lang w:val="en"/>
        </w:rPr>
        <w:drawing>
          <wp:inline distT="0" distB="0" distL="0" distR="0" wp14:anchorId="77F952A0" wp14:editId="7A8DE1FC">
            <wp:extent cx="3782291" cy="6815786"/>
            <wp:effectExtent l="0" t="0" r="0" b="0"/>
            <wp:docPr id="2585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405" name=""/>
                    <pic:cNvPicPr/>
                  </pic:nvPicPr>
                  <pic:blipFill>
                    <a:blip r:embed="rId7"/>
                    <a:stretch>
                      <a:fillRect/>
                    </a:stretch>
                  </pic:blipFill>
                  <pic:spPr>
                    <a:xfrm>
                      <a:off x="0" y="0"/>
                      <a:ext cx="3820553" cy="6884736"/>
                    </a:xfrm>
                    <a:prstGeom prst="rect">
                      <a:avLst/>
                    </a:prstGeom>
                  </pic:spPr>
                </pic:pic>
              </a:graphicData>
            </a:graphic>
          </wp:inline>
        </w:drawing>
      </w:r>
    </w:p>
    <w:p w14:paraId="1D9EA9B5" w14:textId="07708897" w:rsidR="00000000" w:rsidRDefault="00000000">
      <w:pPr>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 xml:space="preserve">Figure 1 — V&amp;V Workflow State Machine: the complete lifecycle of a FileMaster case from creation through final determination, including the non-compliance branch. </w:t>
      </w:r>
    </w:p>
    <w:p w14:paraId="6AE14FD4"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lastRenderedPageBreak/>
        <w:t>3.1 Overview</w:t>
      </w:r>
    </w:p>
    <w:p w14:paraId="60C0785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V&amp;V Workflow State Machine governs the entire lifecycle of a FileMaster case. As shown in Figure 1, the process is organised into </w:t>
      </w:r>
      <w:r>
        <w:rPr>
          <w:rStyle w:val="Strong"/>
          <w:rFonts w:ascii="Segoe UI" w:hAnsi="Segoe UI" w:cs="Segoe UI"/>
          <w:color w:val="1A1F2B"/>
          <w:sz w:val="22"/>
          <w:szCs w:val="22"/>
          <w:lang w:val="en"/>
        </w:rPr>
        <w:t>five macro phases</w:t>
      </w:r>
      <w:r>
        <w:rPr>
          <w:rFonts w:ascii="Segoe UI" w:hAnsi="Segoe UI" w:cs="Segoe UI"/>
          <w:color w:val="1A1F2B"/>
          <w:sz w:val="22"/>
          <w:szCs w:val="22"/>
          <w:lang w:val="en"/>
        </w:rPr>
        <w:t xml:space="preserve">, each containing one or more sequential states: </w:t>
      </w:r>
    </w:p>
    <w:p w14:paraId="52D68DD5" w14:textId="77777777" w:rsidR="00000000" w:rsidRDefault="00000000">
      <w:pPr>
        <w:numPr>
          <w:ilvl w:val="0"/>
          <w:numId w:val="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Case Inception</w:t>
      </w:r>
      <w:r>
        <w:rPr>
          <w:rFonts w:ascii="Segoe UI" w:eastAsia="Times New Roman" w:hAnsi="Segoe UI" w:cs="Segoe UI"/>
          <w:color w:val="1A1F2B"/>
          <w:sz w:val="22"/>
          <w:szCs w:val="22"/>
          <w:lang w:val="en"/>
        </w:rPr>
        <w:t xml:space="preserve"> — Document assimilation, data staging, and readiness verification</w:t>
      </w:r>
    </w:p>
    <w:p w14:paraId="0C0BFC80" w14:textId="77777777" w:rsidR="00000000" w:rsidRDefault="00000000">
      <w:pPr>
        <w:numPr>
          <w:ilvl w:val="0"/>
          <w:numId w:val="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Technical Validation</w:t>
      </w:r>
      <w:r>
        <w:rPr>
          <w:rFonts w:ascii="Segoe UI" w:eastAsia="Times New Roman" w:hAnsi="Segoe UI" w:cs="Segoe UI"/>
          <w:color w:val="1A1F2B"/>
          <w:sz w:val="22"/>
          <w:szCs w:val="22"/>
          <w:lang w:val="en"/>
        </w:rPr>
        <w:t xml:space="preserve"> — Satellite/GIS analysis, volumetric calculations, and comparison logic</w:t>
      </w:r>
    </w:p>
    <w:p w14:paraId="42E25EFD" w14:textId="77777777" w:rsidR="00000000" w:rsidRDefault="00000000">
      <w:pPr>
        <w:numPr>
          <w:ilvl w:val="0"/>
          <w:numId w:val="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Legal Verification</w:t>
      </w:r>
      <w:r>
        <w:rPr>
          <w:rFonts w:ascii="Segoe UI" w:eastAsia="Times New Roman" w:hAnsi="Segoe UI" w:cs="Segoe UI"/>
          <w:color w:val="1A1F2B"/>
          <w:sz w:val="22"/>
          <w:szCs w:val="22"/>
          <w:lang w:val="en"/>
        </w:rPr>
        <w:t xml:space="preserve"> — Lawfulness assessment, entitlement-versus-authorisation evaluation, and determination</w:t>
      </w:r>
    </w:p>
    <w:p w14:paraId="0162FB5D" w14:textId="77777777" w:rsidR="00000000" w:rsidRDefault="00000000">
      <w:pPr>
        <w:numPr>
          <w:ilvl w:val="0"/>
          <w:numId w:val="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Statutory Procedure</w:t>
      </w:r>
      <w:r>
        <w:rPr>
          <w:rFonts w:ascii="Segoe UI" w:eastAsia="Times New Roman" w:hAnsi="Segoe UI" w:cs="Segoe UI"/>
          <w:color w:val="1A1F2B"/>
          <w:sz w:val="22"/>
          <w:szCs w:val="22"/>
          <w:lang w:val="en"/>
        </w:rPr>
        <w:t xml:space="preserve"> — Section 35 notice issuance, representation review, and finality</w:t>
      </w:r>
    </w:p>
    <w:p w14:paraId="4D51BE08" w14:textId="77777777" w:rsidR="00000000" w:rsidRDefault="00000000">
      <w:pPr>
        <w:numPr>
          <w:ilvl w:val="0"/>
          <w:numId w:val="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Final Determination / Non-Compliance</w:t>
      </w:r>
      <w:r>
        <w:rPr>
          <w:rFonts w:ascii="Segoe UI" w:eastAsia="Times New Roman" w:hAnsi="Segoe UI" w:cs="Segoe UI"/>
          <w:color w:val="1A1F2B"/>
          <w:sz w:val="22"/>
          <w:szCs w:val="22"/>
          <w:lang w:val="en"/>
        </w:rPr>
        <w:t xml:space="preserve"> — ELU certification or directive issuance for unlawful use</w:t>
      </w:r>
    </w:p>
    <w:p w14:paraId="53F408E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 case begins at </w:t>
      </w:r>
      <w:r>
        <w:rPr>
          <w:rStyle w:val="Strong"/>
          <w:rFonts w:ascii="Segoe UI" w:hAnsi="Segoe UI" w:cs="Segoe UI"/>
          <w:color w:val="1A1F2B"/>
          <w:sz w:val="22"/>
          <w:szCs w:val="22"/>
          <w:lang w:val="en"/>
        </w:rPr>
        <w:t>Create Case</w:t>
      </w:r>
      <w:r>
        <w:rPr>
          <w:rFonts w:ascii="Segoe UI" w:hAnsi="Segoe UI" w:cs="Segoe UI"/>
          <w:color w:val="1A1F2B"/>
          <w:sz w:val="22"/>
          <w:szCs w:val="22"/>
          <w:lang w:val="en"/>
        </w:rPr>
        <w:t xml:space="preserve"> and advances linearly through each phase. At the Determination stage, the case may branch into Non-Compliance if unlawful use is identified, leading to Directive Issuance under Section 53(1). Otherwise, the case proceeds through the statutory procedure to Final Determination. </w:t>
      </w:r>
    </w:p>
    <w:p w14:paraId="54077777"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3.2 Case Inception Phase</w:t>
      </w:r>
    </w:p>
    <w:p w14:paraId="3D7EE46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Case Inception phase establishes the evidentiary foundation for the entire V&amp;V process. It comprises three states: </w:t>
      </w:r>
    </w:p>
    <w:p w14:paraId="480C100A"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Case_Inception</w:t>
      </w:r>
    </w:p>
    <w:p w14:paraId="11D02F52"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entry point. A </w:t>
      </w:r>
      <w:r>
        <w:rPr>
          <w:rStyle w:val="HTMLCode"/>
          <w:color w:val="1A1F2B"/>
          <w:lang w:val="en"/>
        </w:rPr>
        <w:t>Validator</w:t>
      </w:r>
      <w:r>
        <w:rPr>
          <w:rFonts w:ascii="Segoe UI" w:hAnsi="Segoe UI" w:cs="Segoe UI"/>
          <w:color w:val="1A1F2B"/>
          <w:sz w:val="22"/>
          <w:szCs w:val="22"/>
          <w:lang w:val="en"/>
        </w:rPr>
        <w:t xml:space="preserve"> or higher creates a new FileMaster record, linking it to a Property via the SG Code and to the appropriate Water Management Area and organisational unit. </w:t>
      </w:r>
    </w:p>
    <w:p w14:paraId="7AB40E8A"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Document_Assimilation</w:t>
      </w:r>
    </w:p>
    <w:p w14:paraId="689EB559"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All foundational documents are gathered and associated with the case: identity documents, title deeds, WARMS registration references obtained from eWULAAS, SG diagrams, and any prior V&amp;V study records. The system verifies that mandatory document types are present before allowing progression. </w:t>
      </w:r>
    </w:p>
    <w:p w14:paraId="2BA002DB"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Data_Staging</w:t>
      </w:r>
    </w:p>
    <w:p w14:paraId="349A5823"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Imported data is normalised, validated, and staged for technical analysis. This includes reconciling property boundaries against SG data, confirming quaternary drainage and WMA assignments, and running a readiness check to ensure all prerequisite data sets are in place. </w:t>
      </w:r>
    </w:p>
    <w:p w14:paraId="2034029F" w14:textId="77777777" w:rsidR="00000000" w:rsidRDefault="00000000">
      <w:pPr>
        <w:shd w:val="clear" w:color="auto" w:fill="F0F6FC"/>
        <w:divId w:val="875318080"/>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lastRenderedPageBreak/>
        <w:t>Transition Trigger: File Complete</w:t>
      </w:r>
    </w:p>
    <w:p w14:paraId="06554151" w14:textId="77777777" w:rsidR="00000000" w:rsidRDefault="00000000">
      <w:pPr>
        <w:shd w:val="clear" w:color="auto" w:fill="F0F6FC"/>
        <w:divId w:val="2136024001"/>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The case advances from Case Inception to Technical Validation only when the readiness check confirms that all mandatory documents have been assimilated and data staging is complete. This is enforced by the </w:t>
      </w:r>
      <w:r>
        <w:rPr>
          <w:rStyle w:val="HTMLCode"/>
          <w:color w:val="1A1F2B"/>
          <w:lang w:val="en"/>
        </w:rPr>
        <w:t>FileCompleteGuard</w:t>
      </w:r>
      <w:r>
        <w:rPr>
          <w:rFonts w:ascii="Segoe UI" w:eastAsia="Times New Roman" w:hAnsi="Segoe UI" w:cs="Segoe UI"/>
          <w:color w:val="1A1F2B"/>
          <w:sz w:val="20"/>
          <w:szCs w:val="20"/>
          <w:lang w:val="en"/>
        </w:rPr>
        <w:t xml:space="preserve">. </w:t>
      </w:r>
    </w:p>
    <w:p w14:paraId="0FB772B5"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3.3 Technical Validation Phase</w:t>
      </w:r>
    </w:p>
    <w:p w14:paraId="0BB838AA"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Technical Validation phase is where the quantitative analysis of water use takes place. It comprises three states: </w:t>
      </w:r>
    </w:p>
    <w:p w14:paraId="356279FF"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Satellite_GIS_Analysis</w:t>
      </w:r>
    </w:p>
    <w:p w14:paraId="1DEEF3DF"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Satellite imagery from both the qualifying period (1 October 1996–1999, depending on water source) and the current period is analysed. Crop fields and dams are digitised using GIS tools, producing spatial layers that define the areas of water use for both periods. </w:t>
      </w:r>
    </w:p>
    <w:p w14:paraId="730E6962"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Volumetric_Calculation</w:t>
      </w:r>
    </w:p>
    <w:p w14:paraId="0AEDB75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Calculator Engine executes three calculation models: </w:t>
      </w:r>
    </w:p>
    <w:p w14:paraId="5CA00755" w14:textId="77777777" w:rsidR="00000000" w:rsidRDefault="00000000">
      <w:pPr>
        <w:numPr>
          <w:ilvl w:val="0"/>
          <w:numId w:val="5"/>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SAPWAT</w:t>
      </w:r>
      <w:r>
        <w:rPr>
          <w:rFonts w:ascii="Segoe UI" w:eastAsia="Times New Roman" w:hAnsi="Segoe UI" w:cs="Segoe UI"/>
          <w:color w:val="1A1F2B"/>
          <w:sz w:val="22"/>
          <w:szCs w:val="22"/>
          <w:lang w:val="en"/>
        </w:rPr>
        <w:t xml:space="preserve"> — Crop water requirement modelling (output in mm/ha/a) based on crop type, irrigation system, and field area, calibrated per catchment</w:t>
      </w:r>
    </w:p>
    <w:p w14:paraId="02462997" w14:textId="77777777" w:rsidR="00000000" w:rsidRDefault="00000000">
      <w:pPr>
        <w:numPr>
          <w:ilvl w:val="0"/>
          <w:numId w:val="5"/>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Dam Volume Calculation</w:t>
      </w:r>
      <w:r>
        <w:rPr>
          <w:rFonts w:ascii="Segoe UI" w:eastAsia="Times New Roman" w:hAnsi="Segoe UI" w:cs="Segoe UI"/>
          <w:color w:val="1A1F2B"/>
          <w:sz w:val="22"/>
          <w:szCs w:val="22"/>
          <w:lang w:val="en"/>
        </w:rPr>
        <w:t xml:space="preserve"> — Using either the wall-length method or the area method (Appendix D formulas) with appropriate shape factors</w:t>
      </w:r>
    </w:p>
    <w:p w14:paraId="58B633EF" w14:textId="77777777" w:rsidR="00000000" w:rsidRDefault="00000000">
      <w:pPr>
        <w:numPr>
          <w:ilvl w:val="0"/>
          <w:numId w:val="5"/>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SFRA/Forestation</w:t>
      </w:r>
      <w:r>
        <w:rPr>
          <w:rFonts w:ascii="Segoe UI" w:eastAsia="Times New Roman" w:hAnsi="Segoe UI" w:cs="Segoe UI"/>
          <w:color w:val="1A1F2B"/>
          <w:sz w:val="22"/>
          <w:szCs w:val="22"/>
          <w:lang w:val="en"/>
        </w:rPr>
        <w:t xml:space="preserve"> — Stream flow reduction activity calculations for afforested areas, determining qualifying period hectares, current hectares, and lawful/unlawful volumes</w:t>
      </w:r>
    </w:p>
    <w:p w14:paraId="60F34CDD"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Comparison_Logic</w:t>
      </w:r>
    </w:p>
    <w:p w14:paraId="70D8A07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system compares qualifying-period water use against current-period use, categorising volumes across the water use categories defined in the requirements (rows 4.1 through 4.9): possible existing, possible lawful, possible existing lawful, possible unlawful, registered (WARMS), present-day use, and possible unlawful increase or decrease. </w:t>
      </w:r>
    </w:p>
    <w:p w14:paraId="4191ABF5" w14:textId="77777777" w:rsidR="00000000" w:rsidRDefault="00000000">
      <w:pPr>
        <w:shd w:val="clear" w:color="auto" w:fill="F0F6FC"/>
        <w:divId w:val="1340351422"/>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Transition Trigger: Tech Sign-off</w:t>
      </w:r>
    </w:p>
    <w:p w14:paraId="0C7EBA09" w14:textId="77777777" w:rsidR="00000000" w:rsidRDefault="00000000">
      <w:pPr>
        <w:shd w:val="clear" w:color="auto" w:fill="F0F6FC"/>
        <w:divId w:val="1067341777"/>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A </w:t>
      </w:r>
      <w:r>
        <w:rPr>
          <w:rStyle w:val="HTMLCode"/>
          <w:color w:val="1A1F2B"/>
          <w:lang w:val="en"/>
        </w:rPr>
        <w:t>Validator</w:t>
      </w:r>
      <w:r>
        <w:rPr>
          <w:rFonts w:ascii="Segoe UI" w:eastAsia="Times New Roman" w:hAnsi="Segoe UI" w:cs="Segoe UI"/>
          <w:color w:val="1A1F2B"/>
          <w:sz w:val="20"/>
          <w:szCs w:val="20"/>
          <w:lang w:val="en"/>
        </w:rPr>
        <w:t xml:space="preserve"> must formally sign off on the technical analysis before the case advances to Legal Verification. The guard verifies that all three calculation types have been completed (or explicitly marked as not applicable) and that comparison logic results are recorded. </w:t>
      </w:r>
    </w:p>
    <w:p w14:paraId="74B3B18D"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3.4 Legal Verification Phase</w:t>
      </w:r>
    </w:p>
    <w:p w14:paraId="2CAF5699"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Legal Verification phase applies the legal framework of the National Water Act to the technical results. It comprises three states: </w:t>
      </w:r>
    </w:p>
    <w:p w14:paraId="5D9A0678"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lastRenderedPageBreak/>
        <w:t>Lawfulness_Assessment</w:t>
      </w:r>
    </w:p>
    <w:p w14:paraId="78F71018"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 legal opinion is formed on the lawfulness of the water use, considering all evidence gathered: GWCA authorisations, permits, Section 32/33 approvals, irrigation board records, water court orders, General Authorisations, and any other applicable legislative instruments. Each water use category is assessed against its legal basis. </w:t>
      </w:r>
    </w:p>
    <w:p w14:paraId="39315524"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Entitlement_vs_Authorization</w:t>
      </w:r>
    </w:p>
    <w:p w14:paraId="349C19A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determined Existing Lawful Use (ELU) is compared against the user's current authorisation status. This comparison produces one of three outcomes: </w:t>
      </w:r>
    </w:p>
    <w:p w14:paraId="638FD6E8" w14:textId="77777777" w:rsidR="00000000" w:rsidRDefault="00000000">
      <w:pPr>
        <w:numPr>
          <w:ilvl w:val="0"/>
          <w:numId w:val="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Lawful</w:t>
      </w:r>
      <w:r>
        <w:rPr>
          <w:rFonts w:ascii="Segoe UI" w:eastAsia="Times New Roman" w:hAnsi="Segoe UI" w:cs="Segoe UI"/>
          <w:color w:val="1A1F2B"/>
          <w:sz w:val="22"/>
          <w:szCs w:val="22"/>
          <w:lang w:val="en"/>
        </w:rPr>
        <w:t xml:space="preserve"> — All water use is within authorised limits</w:t>
      </w:r>
    </w:p>
    <w:p w14:paraId="20345C92" w14:textId="77777777" w:rsidR="00000000" w:rsidRDefault="00000000">
      <w:pPr>
        <w:numPr>
          <w:ilvl w:val="0"/>
          <w:numId w:val="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Unlawful</w:t>
      </w:r>
      <w:r>
        <w:rPr>
          <w:rFonts w:ascii="Segoe UI" w:eastAsia="Times New Roman" w:hAnsi="Segoe UI" w:cs="Segoe UI"/>
          <w:color w:val="1A1F2B"/>
          <w:sz w:val="22"/>
          <w:szCs w:val="22"/>
          <w:lang w:val="en"/>
        </w:rPr>
        <w:t xml:space="preserve"> — Water use exceeds authorisation or lacks any legal basis</w:t>
      </w:r>
    </w:p>
    <w:p w14:paraId="13D02229" w14:textId="77777777" w:rsidR="00000000" w:rsidRDefault="00000000">
      <w:pPr>
        <w:numPr>
          <w:ilvl w:val="0"/>
          <w:numId w:val="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Possible Unlawful Increase/Decrease</w:t>
      </w:r>
      <w:r>
        <w:rPr>
          <w:rFonts w:ascii="Segoe UI" w:eastAsia="Times New Roman" w:hAnsi="Segoe UI" w:cs="Segoe UI"/>
          <w:color w:val="1A1F2B"/>
          <w:sz w:val="22"/>
          <w:szCs w:val="22"/>
          <w:lang w:val="en"/>
        </w:rPr>
        <w:t xml:space="preserve"> — A delta exists between the ELU and current use that requires further investigation</w:t>
      </w:r>
    </w:p>
    <w:p w14:paraId="32BB3F8F"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Determination</w:t>
      </w:r>
    </w:p>
    <w:p w14:paraId="5482216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formal determination is recorded on the Validation entity, including ELU volumes, registration status, and the classification of each water use component. This state represents the point at which the case is ready to enter the statutory procedure or, if unlawful use is identified, to branch into the non-compliance path. </w:t>
      </w:r>
    </w:p>
    <w:p w14:paraId="1F490939" w14:textId="77777777" w:rsidR="00000000" w:rsidRDefault="00000000">
      <w:pPr>
        <w:shd w:val="clear" w:color="auto" w:fill="F0F6FC"/>
        <w:divId w:val="1504275131"/>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Transition Trigger: S35 Initiation</w:t>
      </w:r>
    </w:p>
    <w:p w14:paraId="4FF39324" w14:textId="77777777" w:rsidR="00000000" w:rsidRDefault="00000000">
      <w:pPr>
        <w:shd w:val="clear" w:color="auto" w:fill="F0F6FC"/>
        <w:divId w:val="929579827"/>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The </w:t>
      </w:r>
      <w:r>
        <w:rPr>
          <w:rStyle w:val="HTMLCode"/>
          <w:color w:val="1A1F2B"/>
          <w:lang w:val="en"/>
        </w:rPr>
        <w:t>RegionalManager</w:t>
      </w:r>
      <w:r>
        <w:rPr>
          <w:rFonts w:ascii="Segoe UI" w:eastAsia="Times New Roman" w:hAnsi="Segoe UI" w:cs="Segoe UI"/>
          <w:color w:val="1A1F2B"/>
          <w:sz w:val="20"/>
          <w:szCs w:val="20"/>
          <w:lang w:val="en"/>
        </w:rPr>
        <w:t xml:space="preserve"> approves the determination, which triggers the transition into the Statutory Procedure phase. If unlawful use is identified, a parallel branch to Non-Compliance may be initiated. </w:t>
      </w:r>
    </w:p>
    <w:p w14:paraId="4E60B833"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3.5 Statutory Procedure Phase</w:t>
      </w:r>
    </w:p>
    <w:p w14:paraId="6F875A7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Statutory Procedure phase enacts the requirements of Section 35 of the National Water Act through formal correspondence with the water user. It comprises three states: </w:t>
      </w:r>
    </w:p>
    <w:p w14:paraId="36A73EB5"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Section_35_1_Notice</w:t>
      </w:r>
    </w:p>
    <w:p w14:paraId="491D82BD"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Letter 1 — the S35(1) Notice to Apply for Verification — is generated, signed by the Regional Manager, and served to the water user. This letter </w:t>
      </w:r>
      <w:r>
        <w:rPr>
          <w:rStyle w:val="Strong"/>
          <w:rFonts w:ascii="Segoe UI" w:hAnsi="Segoe UI" w:cs="Segoe UI"/>
          <w:color w:val="1A1F2B"/>
          <w:sz w:val="22"/>
          <w:szCs w:val="22"/>
          <w:lang w:val="en"/>
        </w:rPr>
        <w:t>must be served in person</w:t>
      </w:r>
      <w:r>
        <w:rPr>
          <w:rFonts w:ascii="Segoe UI" w:hAnsi="Segoe UI" w:cs="Segoe UI"/>
          <w:color w:val="1A1F2B"/>
          <w:sz w:val="22"/>
          <w:szCs w:val="22"/>
          <w:lang w:val="en"/>
        </w:rPr>
        <w:t xml:space="preserve"> (hand delivery by an official, agent, or sheriff), and the system records the serving official, delivery date, and method. </w:t>
      </w:r>
    </w:p>
    <w:p w14:paraId="0C2D7676"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Representation_Review</w:t>
      </w:r>
    </w:p>
    <w:p w14:paraId="472652A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water user's response is received and reviewed. The user may agree with the determination, disagree and provide additional evidence, or fail to respond within the statutory period. Each outcome triggers a different downstream path (detailed in Section 4). </w:t>
      </w:r>
    </w:p>
    <w:p w14:paraId="243CA216"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lastRenderedPageBreak/>
        <w:t>Section_35_4_Finality</w:t>
      </w:r>
    </w:p>
    <w:p w14:paraId="4522F74A"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Upon resolution of all representations and any additional information requests, the Section 35(4) certificate is issued — Letter 3 — which formally confirms the extent and lawfulness of the water use. This is the terminal state for compliant cases. </w:t>
      </w:r>
    </w:p>
    <w:p w14:paraId="6975AECB" w14:textId="77777777" w:rsidR="00000000" w:rsidRDefault="00000000">
      <w:pPr>
        <w:shd w:val="clear" w:color="auto" w:fill="F0F6FC"/>
        <w:divId w:val="335694695"/>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Transition Trigger: Certificate Issued</w:t>
      </w:r>
    </w:p>
    <w:p w14:paraId="62BF8493" w14:textId="77777777" w:rsidR="00000000" w:rsidRDefault="00000000">
      <w:pPr>
        <w:shd w:val="clear" w:color="auto" w:fill="F0F6FC"/>
        <w:divId w:val="1567178540"/>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The case reaches Final Determination when Letter 3 (the S35(4) ELU certificate) is signed, issued, and acknowledged. The case is then closed or archived. </w:t>
      </w:r>
    </w:p>
    <w:p w14:paraId="684DEBA5"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3.6 Non-Compliance Branch</w:t>
      </w:r>
    </w:p>
    <w:p w14:paraId="1055F688"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When a water user fails to respond to statutory notices, refuses to comply with directives, or when the determination reveals unlawful water use that cannot be regularised, the case branches into the </w:t>
      </w:r>
      <w:r>
        <w:rPr>
          <w:rStyle w:val="Strong"/>
          <w:rFonts w:ascii="Segoe UI" w:hAnsi="Segoe UI" w:cs="Segoe UI"/>
          <w:color w:val="1A1F2B"/>
          <w:sz w:val="22"/>
          <w:szCs w:val="22"/>
          <w:lang w:val="en"/>
        </w:rPr>
        <w:t>Non-Compliance</w:t>
      </w:r>
      <w:r>
        <w:rPr>
          <w:rFonts w:ascii="Segoe UI" w:hAnsi="Segoe UI" w:cs="Segoe UI"/>
          <w:color w:val="1A1F2B"/>
          <w:sz w:val="22"/>
          <w:szCs w:val="22"/>
          <w:lang w:val="en"/>
        </w:rPr>
        <w:t xml:space="preserve"> path. This branch leads to </w:t>
      </w:r>
      <w:r>
        <w:rPr>
          <w:rStyle w:val="Strong"/>
          <w:rFonts w:ascii="Segoe UI" w:hAnsi="Segoe UI" w:cs="Segoe UI"/>
          <w:color w:val="1A1F2B"/>
          <w:sz w:val="22"/>
          <w:szCs w:val="22"/>
          <w:lang w:val="en"/>
        </w:rPr>
        <w:t>Directive_Issuance</w:t>
      </w:r>
      <w:r>
        <w:rPr>
          <w:rFonts w:ascii="Segoe UI" w:hAnsi="Segoe UI" w:cs="Segoe UI"/>
          <w:color w:val="1A1F2B"/>
          <w:sz w:val="22"/>
          <w:szCs w:val="22"/>
          <w:lang w:val="en"/>
        </w:rPr>
        <w:t xml:space="preserve">, where the following enforcement actions may be taken: </w:t>
      </w:r>
    </w:p>
    <w:p w14:paraId="4CDF6DDD" w14:textId="77777777" w:rsidR="00000000" w:rsidRDefault="00000000">
      <w:pPr>
        <w:numPr>
          <w:ilvl w:val="0"/>
          <w:numId w:val="7"/>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Letter 4A</w:t>
      </w:r>
      <w:r>
        <w:rPr>
          <w:rFonts w:ascii="Segoe UI" w:eastAsia="Times New Roman" w:hAnsi="Segoe UI" w:cs="Segoe UI"/>
          <w:color w:val="1A1F2B"/>
          <w:sz w:val="22"/>
          <w:szCs w:val="22"/>
          <w:lang w:val="en"/>
        </w:rPr>
        <w:t xml:space="preserve"> — S53(1) Notice of Intent to issue a directive to stop unlawful water use</w:t>
      </w:r>
    </w:p>
    <w:p w14:paraId="32868270" w14:textId="77777777" w:rsidR="00000000" w:rsidRDefault="00000000">
      <w:pPr>
        <w:numPr>
          <w:ilvl w:val="0"/>
          <w:numId w:val="7"/>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Letters 4 &amp; 5</w:t>
      </w:r>
      <w:r>
        <w:rPr>
          <w:rFonts w:ascii="Segoe UI" w:eastAsia="Times New Roman" w:hAnsi="Segoe UI" w:cs="Segoe UI"/>
          <w:color w:val="1A1F2B"/>
          <w:sz w:val="22"/>
          <w:szCs w:val="22"/>
          <w:lang w:val="en"/>
        </w:rPr>
        <w:t xml:space="preserve"> — S53(1) Directive to stop unlawful water use</w:t>
      </w:r>
    </w:p>
    <w:p w14:paraId="6D46E3A4"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non-compliance branch has its own letter lifecycle (detailed in Section 4.7) and terminates at </w:t>
      </w:r>
      <w:r>
        <w:rPr>
          <w:rStyle w:val="Strong"/>
          <w:rFonts w:ascii="Segoe UI" w:hAnsi="Segoe UI" w:cs="Segoe UI"/>
          <w:color w:val="1A1F2B"/>
          <w:sz w:val="22"/>
          <w:szCs w:val="22"/>
          <w:lang w:val="en"/>
        </w:rPr>
        <w:t>Enforcement Complete</w:t>
      </w:r>
      <w:r>
        <w:rPr>
          <w:rFonts w:ascii="Segoe UI" w:hAnsi="Segoe UI" w:cs="Segoe UI"/>
          <w:color w:val="1A1F2B"/>
          <w:sz w:val="22"/>
          <w:szCs w:val="22"/>
          <w:lang w:val="en"/>
        </w:rPr>
        <w:t xml:space="preserve">, after which the case is closed with the unlawful use determination on record. </w:t>
      </w:r>
    </w:p>
    <w:p w14:paraId="53980C6E" w14:textId="77777777" w:rsidR="00000000" w:rsidRDefault="00000000">
      <w:pPr>
        <w:shd w:val="clear" w:color="auto" w:fill="F0F6FC"/>
        <w:divId w:val="1419600511"/>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Legal Significance</w:t>
      </w:r>
    </w:p>
    <w:p w14:paraId="0B21A990" w14:textId="77777777" w:rsidR="00000000" w:rsidRDefault="00000000">
      <w:pPr>
        <w:shd w:val="clear" w:color="auto" w:fill="F0F6FC"/>
        <w:divId w:val="1058014681"/>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Directive issuance under Section 53(1) is a formal enforcement action with legal consequences. The system must record all correspondence, delivery confirmation, and response timelines with forensic precision, as these records may be required in subsequent legal proceedings. </w:t>
      </w:r>
    </w:p>
    <w:p w14:paraId="2572A55F"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3.7 Transition Guards</w:t>
      </w:r>
    </w:p>
    <w:p w14:paraId="3A3EFFD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Every state transition in the workflow is protected by one or more guards that must all pass before the transition is permitted. The </w:t>
      </w:r>
      <w:r>
        <w:rPr>
          <w:rStyle w:val="HTMLCode"/>
          <w:color w:val="1A1F2B"/>
          <w:lang w:val="en"/>
        </w:rPr>
        <w:t>WorkflowEngine.CanTransition(user, fileMaster, targetState)</w:t>
      </w:r>
      <w:r>
        <w:rPr>
          <w:rFonts w:ascii="Segoe UI" w:hAnsi="Segoe UI" w:cs="Segoe UI"/>
          <w:color w:val="1A1F2B"/>
          <w:sz w:val="22"/>
          <w:szCs w:val="22"/>
          <w:lang w:val="en"/>
        </w:rPr>
        <w:t xml:space="preserve"> method evaluates all guards and returns a boolean result with a reason string. The following table lists representative guard examples: </w:t>
      </w:r>
    </w:p>
    <w:tbl>
      <w:tblPr>
        <w:tblW w:w="5000" w:type="pct"/>
        <w:tblCellMar>
          <w:top w:w="15" w:type="dxa"/>
          <w:left w:w="15" w:type="dxa"/>
          <w:bottom w:w="15" w:type="dxa"/>
          <w:right w:w="15" w:type="dxa"/>
        </w:tblCellMar>
        <w:tblLook w:val="04A0" w:firstRow="1" w:lastRow="0" w:firstColumn="1" w:lastColumn="0" w:noHBand="0" w:noVBand="1"/>
      </w:tblPr>
      <w:tblGrid>
        <w:gridCol w:w="1416"/>
        <w:gridCol w:w="2311"/>
        <w:gridCol w:w="5633"/>
      </w:tblGrid>
      <w:tr w:rsidR="00000000" w14:paraId="7B2A6446" w14:textId="77777777">
        <w:tc>
          <w:tcPr>
            <w:tcW w:w="0" w:type="auto"/>
            <w:shd w:val="clear" w:color="auto" w:fill="002855"/>
            <w:vAlign w:val="center"/>
            <w:hideMark/>
          </w:tcPr>
          <w:p w14:paraId="1DEA664D"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Transition</w:t>
            </w:r>
          </w:p>
        </w:tc>
        <w:tc>
          <w:tcPr>
            <w:tcW w:w="0" w:type="auto"/>
            <w:shd w:val="clear" w:color="auto" w:fill="002855"/>
            <w:vAlign w:val="center"/>
            <w:hideMark/>
          </w:tcPr>
          <w:p w14:paraId="44636779"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Guard</w:t>
            </w:r>
          </w:p>
        </w:tc>
        <w:tc>
          <w:tcPr>
            <w:tcW w:w="0" w:type="auto"/>
            <w:shd w:val="clear" w:color="auto" w:fill="002855"/>
            <w:vAlign w:val="center"/>
            <w:hideMark/>
          </w:tcPr>
          <w:p w14:paraId="34855C15"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Requirement</w:t>
            </w:r>
          </w:p>
        </w:tc>
      </w:tr>
      <w:tr w:rsidR="00000000" w14:paraId="2DE2903F" w14:textId="77777777">
        <w:tc>
          <w:tcPr>
            <w:tcW w:w="0" w:type="auto"/>
            <w:tcBorders>
              <w:bottom w:val="single" w:sz="6" w:space="0" w:color="E2E6EA"/>
            </w:tcBorders>
            <w:vAlign w:val="center"/>
            <w:hideMark/>
          </w:tcPr>
          <w:p w14:paraId="2455B8AF"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CP1 → CP2</w:t>
            </w:r>
          </w:p>
        </w:tc>
        <w:tc>
          <w:tcPr>
            <w:tcW w:w="0" w:type="auto"/>
            <w:tcBorders>
              <w:bottom w:val="single" w:sz="6" w:space="0" w:color="E2E6EA"/>
            </w:tcBorders>
            <w:vAlign w:val="center"/>
            <w:hideMark/>
          </w:tcPr>
          <w:p w14:paraId="079AD098" w14:textId="77777777" w:rsidR="00000000" w:rsidRDefault="00000000">
            <w:pPr>
              <w:rPr>
                <w:rFonts w:ascii="Segoe UI" w:eastAsia="Times New Roman" w:hAnsi="Segoe UI" w:cs="Segoe UI"/>
                <w:color w:val="1A1F2B"/>
                <w:sz w:val="20"/>
                <w:szCs w:val="20"/>
              </w:rPr>
            </w:pPr>
            <w:r>
              <w:rPr>
                <w:rStyle w:val="HTMLCode"/>
                <w:color w:val="1A1F2B"/>
              </w:rPr>
              <w:t>WarmsExportGuard</w:t>
            </w:r>
          </w:p>
        </w:tc>
        <w:tc>
          <w:tcPr>
            <w:tcW w:w="0" w:type="auto"/>
            <w:tcBorders>
              <w:bottom w:val="single" w:sz="6" w:space="0" w:color="E2E6EA"/>
            </w:tcBorders>
            <w:vAlign w:val="center"/>
            <w:hideMark/>
          </w:tcPr>
          <w:p w14:paraId="5941017A"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WARMS export date must be recorded on the FileMaster</w:t>
            </w:r>
          </w:p>
        </w:tc>
      </w:tr>
      <w:tr w:rsidR="00000000" w14:paraId="70476E4D" w14:textId="77777777">
        <w:tc>
          <w:tcPr>
            <w:tcW w:w="0" w:type="auto"/>
            <w:tcBorders>
              <w:bottom w:val="single" w:sz="6" w:space="0" w:color="E2E6EA"/>
            </w:tcBorders>
            <w:vAlign w:val="center"/>
            <w:hideMark/>
          </w:tcPr>
          <w:p w14:paraId="67C47C14"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CP1 → CP2</w:t>
            </w:r>
          </w:p>
        </w:tc>
        <w:tc>
          <w:tcPr>
            <w:tcW w:w="0" w:type="auto"/>
            <w:tcBorders>
              <w:bottom w:val="single" w:sz="6" w:space="0" w:color="E2E6EA"/>
            </w:tcBorders>
            <w:vAlign w:val="center"/>
            <w:hideMark/>
          </w:tcPr>
          <w:p w14:paraId="77D8F822" w14:textId="77777777" w:rsidR="00000000" w:rsidRDefault="00000000">
            <w:pPr>
              <w:rPr>
                <w:rFonts w:ascii="Segoe UI" w:eastAsia="Times New Roman" w:hAnsi="Segoe UI" w:cs="Segoe UI"/>
                <w:color w:val="1A1F2B"/>
                <w:sz w:val="20"/>
                <w:szCs w:val="20"/>
              </w:rPr>
            </w:pPr>
            <w:r>
              <w:rPr>
                <w:rStyle w:val="HTMLCode"/>
                <w:color w:val="1A1F2B"/>
              </w:rPr>
              <w:t>SatelliteImageGuard</w:t>
            </w:r>
          </w:p>
        </w:tc>
        <w:tc>
          <w:tcPr>
            <w:tcW w:w="0" w:type="auto"/>
            <w:tcBorders>
              <w:bottom w:val="single" w:sz="6" w:space="0" w:color="E2E6EA"/>
            </w:tcBorders>
            <w:vAlign w:val="center"/>
            <w:hideMark/>
          </w:tcPr>
          <w:p w14:paraId="59B42DA1"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At least one SateliteImage record must exist for qualifying and current periods</w:t>
            </w:r>
          </w:p>
        </w:tc>
      </w:tr>
      <w:tr w:rsidR="00000000" w14:paraId="43C7DEFC" w14:textId="77777777">
        <w:tc>
          <w:tcPr>
            <w:tcW w:w="0" w:type="auto"/>
            <w:tcBorders>
              <w:bottom w:val="single" w:sz="6" w:space="0" w:color="E2E6EA"/>
            </w:tcBorders>
            <w:vAlign w:val="center"/>
            <w:hideMark/>
          </w:tcPr>
          <w:p w14:paraId="7F5F60A0"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CP2 → CP3</w:t>
            </w:r>
          </w:p>
        </w:tc>
        <w:tc>
          <w:tcPr>
            <w:tcW w:w="0" w:type="auto"/>
            <w:tcBorders>
              <w:bottom w:val="single" w:sz="6" w:space="0" w:color="E2E6EA"/>
            </w:tcBorders>
            <w:vAlign w:val="center"/>
            <w:hideMark/>
          </w:tcPr>
          <w:p w14:paraId="090AE678" w14:textId="77777777" w:rsidR="00000000" w:rsidRDefault="00000000">
            <w:pPr>
              <w:rPr>
                <w:rFonts w:ascii="Segoe UI" w:eastAsia="Times New Roman" w:hAnsi="Segoe UI" w:cs="Segoe UI"/>
                <w:color w:val="1A1F2B"/>
                <w:sz w:val="20"/>
                <w:szCs w:val="20"/>
              </w:rPr>
            </w:pPr>
            <w:r>
              <w:rPr>
                <w:rStyle w:val="HTMLCode"/>
                <w:color w:val="1A1F2B"/>
              </w:rPr>
              <w:t>SpatialDataGuard</w:t>
            </w:r>
          </w:p>
        </w:tc>
        <w:tc>
          <w:tcPr>
            <w:tcW w:w="0" w:type="auto"/>
            <w:tcBorders>
              <w:bottom w:val="single" w:sz="6" w:space="0" w:color="E2E6EA"/>
            </w:tcBorders>
            <w:vAlign w:val="center"/>
            <w:hideMark/>
          </w:tcPr>
          <w:p w14:paraId="02384551"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River and Property SG codes must be confirmed</w:t>
            </w:r>
          </w:p>
        </w:tc>
      </w:tr>
      <w:tr w:rsidR="00000000" w14:paraId="26E372D0" w14:textId="77777777">
        <w:tc>
          <w:tcPr>
            <w:tcW w:w="0" w:type="auto"/>
            <w:tcBorders>
              <w:bottom w:val="single" w:sz="6" w:space="0" w:color="E2E6EA"/>
            </w:tcBorders>
            <w:vAlign w:val="center"/>
            <w:hideMark/>
          </w:tcPr>
          <w:p w14:paraId="65C249FB"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CP5 → CP6</w:t>
            </w:r>
          </w:p>
        </w:tc>
        <w:tc>
          <w:tcPr>
            <w:tcW w:w="0" w:type="auto"/>
            <w:tcBorders>
              <w:bottom w:val="single" w:sz="6" w:space="0" w:color="E2E6EA"/>
            </w:tcBorders>
            <w:vAlign w:val="center"/>
            <w:hideMark/>
          </w:tcPr>
          <w:p w14:paraId="699D0A42" w14:textId="77777777" w:rsidR="00000000" w:rsidRDefault="00000000">
            <w:pPr>
              <w:rPr>
                <w:rFonts w:ascii="Segoe UI" w:eastAsia="Times New Roman" w:hAnsi="Segoe UI" w:cs="Segoe UI"/>
                <w:color w:val="1A1F2B"/>
                <w:sz w:val="20"/>
                <w:szCs w:val="20"/>
              </w:rPr>
            </w:pPr>
            <w:r>
              <w:rPr>
                <w:rStyle w:val="HTMLCode"/>
                <w:color w:val="1A1F2B"/>
              </w:rPr>
              <w:t>GisLayerGuard</w:t>
            </w:r>
          </w:p>
        </w:tc>
        <w:tc>
          <w:tcPr>
            <w:tcW w:w="0" w:type="auto"/>
            <w:tcBorders>
              <w:bottom w:val="single" w:sz="6" w:space="0" w:color="E2E6EA"/>
            </w:tcBorders>
            <w:vAlign w:val="center"/>
            <w:hideMark/>
          </w:tcPr>
          <w:p w14:paraId="489F6B48"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GIS spatial layers for qualifying and current periods must be confirmed</w:t>
            </w:r>
          </w:p>
        </w:tc>
      </w:tr>
      <w:tr w:rsidR="00000000" w14:paraId="1974020E" w14:textId="77777777">
        <w:tc>
          <w:tcPr>
            <w:tcW w:w="0" w:type="auto"/>
            <w:tcBorders>
              <w:bottom w:val="single" w:sz="6" w:space="0" w:color="E2E6EA"/>
            </w:tcBorders>
            <w:vAlign w:val="center"/>
            <w:hideMark/>
          </w:tcPr>
          <w:p w14:paraId="7EB85E3D"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lastRenderedPageBreak/>
              <w:t>CP6 → CP7</w:t>
            </w:r>
          </w:p>
        </w:tc>
        <w:tc>
          <w:tcPr>
            <w:tcW w:w="0" w:type="auto"/>
            <w:tcBorders>
              <w:bottom w:val="single" w:sz="6" w:space="0" w:color="E2E6EA"/>
            </w:tcBorders>
            <w:vAlign w:val="center"/>
            <w:hideMark/>
          </w:tcPr>
          <w:p w14:paraId="020451B6" w14:textId="77777777" w:rsidR="00000000" w:rsidRDefault="00000000">
            <w:pPr>
              <w:rPr>
                <w:rFonts w:ascii="Segoe UI" w:eastAsia="Times New Roman" w:hAnsi="Segoe UI" w:cs="Segoe UI"/>
                <w:color w:val="1A1F2B"/>
                <w:sz w:val="20"/>
                <w:szCs w:val="20"/>
              </w:rPr>
            </w:pPr>
            <w:r>
              <w:rPr>
                <w:rStyle w:val="HTMLCode"/>
                <w:color w:val="1A1F2B"/>
              </w:rPr>
              <w:t>SapwatGuard</w:t>
            </w:r>
          </w:p>
        </w:tc>
        <w:tc>
          <w:tcPr>
            <w:tcW w:w="0" w:type="auto"/>
            <w:tcBorders>
              <w:bottom w:val="single" w:sz="6" w:space="0" w:color="E2E6EA"/>
            </w:tcBorders>
            <w:vAlign w:val="center"/>
            <w:hideMark/>
          </w:tcPr>
          <w:p w14:paraId="7ABF56DB"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FieldAndCrop records with SAPWATCalculationResult values must be present</w:t>
            </w:r>
          </w:p>
        </w:tc>
      </w:tr>
      <w:tr w:rsidR="00000000" w14:paraId="708A8B6A" w14:textId="77777777">
        <w:tc>
          <w:tcPr>
            <w:tcW w:w="0" w:type="auto"/>
            <w:tcBorders>
              <w:bottom w:val="single" w:sz="6" w:space="0" w:color="E2E6EA"/>
            </w:tcBorders>
            <w:vAlign w:val="center"/>
            <w:hideMark/>
          </w:tcPr>
          <w:p w14:paraId="127F8C1C"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CP7 → CP8</w:t>
            </w:r>
          </w:p>
        </w:tc>
        <w:tc>
          <w:tcPr>
            <w:tcW w:w="0" w:type="auto"/>
            <w:tcBorders>
              <w:bottom w:val="single" w:sz="6" w:space="0" w:color="E2E6EA"/>
            </w:tcBorders>
            <w:vAlign w:val="center"/>
            <w:hideMark/>
          </w:tcPr>
          <w:p w14:paraId="422ECA6A" w14:textId="77777777" w:rsidR="00000000" w:rsidRDefault="00000000">
            <w:pPr>
              <w:rPr>
                <w:rFonts w:ascii="Segoe UI" w:eastAsia="Times New Roman" w:hAnsi="Segoe UI" w:cs="Segoe UI"/>
                <w:color w:val="1A1F2B"/>
                <w:sz w:val="20"/>
                <w:szCs w:val="20"/>
              </w:rPr>
            </w:pPr>
            <w:r>
              <w:rPr>
                <w:rStyle w:val="HTMLCode"/>
                <w:color w:val="1A1F2B"/>
              </w:rPr>
              <w:t>EluCalculationGuard</w:t>
            </w:r>
          </w:p>
        </w:tc>
        <w:tc>
          <w:tcPr>
            <w:tcW w:w="0" w:type="auto"/>
            <w:tcBorders>
              <w:bottom w:val="single" w:sz="6" w:space="0" w:color="E2E6EA"/>
            </w:tcBorders>
            <w:vAlign w:val="center"/>
            <w:hideMark/>
          </w:tcPr>
          <w:p w14:paraId="18181FD9"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Validation record with ELU volumes must be set</w:t>
            </w:r>
          </w:p>
        </w:tc>
      </w:tr>
      <w:tr w:rsidR="00000000" w14:paraId="31BB0D6B" w14:textId="77777777">
        <w:tc>
          <w:tcPr>
            <w:tcW w:w="0" w:type="auto"/>
            <w:tcBorders>
              <w:bottom w:val="single" w:sz="6" w:space="0" w:color="E2E6EA"/>
            </w:tcBorders>
            <w:vAlign w:val="center"/>
            <w:hideMark/>
          </w:tcPr>
          <w:p w14:paraId="0E135B92"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CP8 → CP9</w:t>
            </w:r>
          </w:p>
        </w:tc>
        <w:tc>
          <w:tcPr>
            <w:tcW w:w="0" w:type="auto"/>
            <w:tcBorders>
              <w:bottom w:val="single" w:sz="6" w:space="0" w:color="E2E6EA"/>
            </w:tcBorders>
            <w:vAlign w:val="center"/>
            <w:hideMark/>
          </w:tcPr>
          <w:p w14:paraId="17AC9F79" w14:textId="77777777" w:rsidR="00000000" w:rsidRDefault="00000000">
            <w:pPr>
              <w:rPr>
                <w:rFonts w:ascii="Segoe UI" w:eastAsia="Times New Roman" w:hAnsi="Segoe UI" w:cs="Segoe UI"/>
                <w:color w:val="1A1F2B"/>
                <w:sz w:val="20"/>
                <w:szCs w:val="20"/>
              </w:rPr>
            </w:pPr>
            <w:r>
              <w:rPr>
                <w:rStyle w:val="HTMLCode"/>
                <w:color w:val="1A1F2B"/>
              </w:rPr>
              <w:t>DamCalculationGuard</w:t>
            </w:r>
          </w:p>
        </w:tc>
        <w:tc>
          <w:tcPr>
            <w:tcW w:w="0" w:type="auto"/>
            <w:tcBorders>
              <w:bottom w:val="single" w:sz="6" w:space="0" w:color="E2E6EA"/>
            </w:tcBorders>
            <w:vAlign w:val="center"/>
            <w:hideMark/>
          </w:tcPr>
          <w:p w14:paraId="546E979C"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DamCalculation records must be present, or explicitly marked N/A</w:t>
            </w:r>
          </w:p>
        </w:tc>
      </w:tr>
      <w:tr w:rsidR="00000000" w14:paraId="6DC097AA" w14:textId="77777777">
        <w:tc>
          <w:tcPr>
            <w:tcW w:w="0" w:type="auto"/>
            <w:tcBorders>
              <w:bottom w:val="single" w:sz="6" w:space="0" w:color="E2E6EA"/>
            </w:tcBorders>
            <w:vAlign w:val="center"/>
            <w:hideMark/>
          </w:tcPr>
          <w:p w14:paraId="6FFEA23A"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CP9 → S35</w:t>
            </w:r>
          </w:p>
        </w:tc>
        <w:tc>
          <w:tcPr>
            <w:tcW w:w="0" w:type="auto"/>
            <w:tcBorders>
              <w:bottom w:val="single" w:sz="6" w:space="0" w:color="E2E6EA"/>
            </w:tcBorders>
            <w:vAlign w:val="center"/>
            <w:hideMark/>
          </w:tcPr>
          <w:p w14:paraId="16A27B8A" w14:textId="77777777" w:rsidR="00000000" w:rsidRDefault="00000000">
            <w:pPr>
              <w:rPr>
                <w:rFonts w:ascii="Segoe UI" w:eastAsia="Times New Roman" w:hAnsi="Segoe UI" w:cs="Segoe UI"/>
                <w:color w:val="1A1F2B"/>
                <w:sz w:val="20"/>
                <w:szCs w:val="20"/>
              </w:rPr>
            </w:pPr>
            <w:r>
              <w:rPr>
                <w:rStyle w:val="HTMLCode"/>
                <w:color w:val="1A1F2B"/>
              </w:rPr>
              <w:t>ForestationGuard</w:t>
            </w:r>
          </w:p>
        </w:tc>
        <w:tc>
          <w:tcPr>
            <w:tcW w:w="0" w:type="auto"/>
            <w:tcBorders>
              <w:bottom w:val="single" w:sz="6" w:space="0" w:color="E2E6EA"/>
            </w:tcBorders>
            <w:vAlign w:val="center"/>
            <w:hideMark/>
          </w:tcPr>
          <w:p w14:paraId="726A2955"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Forestation records must be present, or explicitly marked N/A</w:t>
            </w:r>
          </w:p>
        </w:tc>
      </w:tr>
      <w:tr w:rsidR="00000000" w14:paraId="55E08E71" w14:textId="77777777">
        <w:tc>
          <w:tcPr>
            <w:tcW w:w="0" w:type="auto"/>
            <w:tcBorders>
              <w:bottom w:val="single" w:sz="6" w:space="0" w:color="E2E6EA"/>
            </w:tcBorders>
            <w:vAlign w:val="center"/>
            <w:hideMark/>
          </w:tcPr>
          <w:p w14:paraId="10874348"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Any letter signing</w:t>
            </w:r>
          </w:p>
        </w:tc>
        <w:tc>
          <w:tcPr>
            <w:tcW w:w="0" w:type="auto"/>
            <w:tcBorders>
              <w:bottom w:val="single" w:sz="6" w:space="0" w:color="E2E6EA"/>
            </w:tcBorders>
            <w:vAlign w:val="center"/>
            <w:hideMark/>
          </w:tcPr>
          <w:p w14:paraId="302CD1A3" w14:textId="77777777" w:rsidR="00000000" w:rsidRDefault="00000000">
            <w:pPr>
              <w:rPr>
                <w:rFonts w:ascii="Segoe UI" w:eastAsia="Times New Roman" w:hAnsi="Segoe UI" w:cs="Segoe UI"/>
                <w:color w:val="1A1F2B"/>
                <w:sz w:val="20"/>
                <w:szCs w:val="20"/>
              </w:rPr>
            </w:pPr>
            <w:r>
              <w:rPr>
                <w:rStyle w:val="HTMLCode"/>
                <w:color w:val="1A1F2B"/>
              </w:rPr>
              <w:t>RoleGuard</w:t>
            </w:r>
          </w:p>
        </w:tc>
        <w:tc>
          <w:tcPr>
            <w:tcW w:w="0" w:type="auto"/>
            <w:tcBorders>
              <w:bottom w:val="single" w:sz="6" w:space="0" w:color="E2E6EA"/>
            </w:tcBorders>
            <w:vAlign w:val="center"/>
            <w:hideMark/>
          </w:tcPr>
          <w:p w14:paraId="427321B2"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 xml:space="preserve">Only </w:t>
            </w:r>
            <w:r>
              <w:rPr>
                <w:rStyle w:val="HTMLCode"/>
                <w:color w:val="1A1F2B"/>
              </w:rPr>
              <w:t>RegionalManager</w:t>
            </w:r>
            <w:r>
              <w:rPr>
                <w:rFonts w:ascii="Segoe UI" w:eastAsia="Times New Roman" w:hAnsi="Segoe UI" w:cs="Segoe UI"/>
                <w:color w:val="1A1F2B"/>
                <w:sz w:val="20"/>
                <w:szCs w:val="20"/>
              </w:rPr>
              <w:t xml:space="preserve"> or above may sign Section 35 letters</w:t>
            </w:r>
          </w:p>
        </w:tc>
      </w:tr>
      <w:tr w:rsidR="00000000" w14:paraId="21E365E4" w14:textId="77777777">
        <w:tc>
          <w:tcPr>
            <w:tcW w:w="0" w:type="auto"/>
            <w:tcBorders>
              <w:bottom w:val="single" w:sz="6" w:space="0" w:color="E2E6EA"/>
            </w:tcBorders>
            <w:vAlign w:val="center"/>
            <w:hideMark/>
          </w:tcPr>
          <w:p w14:paraId="22C56AA8"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Any transition</w:t>
            </w:r>
          </w:p>
        </w:tc>
        <w:tc>
          <w:tcPr>
            <w:tcW w:w="0" w:type="auto"/>
            <w:tcBorders>
              <w:bottom w:val="single" w:sz="6" w:space="0" w:color="E2E6EA"/>
            </w:tcBorders>
            <w:vAlign w:val="center"/>
            <w:hideMark/>
          </w:tcPr>
          <w:p w14:paraId="0A996E33" w14:textId="77777777" w:rsidR="00000000" w:rsidRDefault="00000000">
            <w:pPr>
              <w:rPr>
                <w:rFonts w:ascii="Segoe UI" w:eastAsia="Times New Roman" w:hAnsi="Segoe UI" w:cs="Segoe UI"/>
                <w:color w:val="1A1F2B"/>
                <w:sz w:val="20"/>
                <w:szCs w:val="20"/>
              </w:rPr>
            </w:pPr>
            <w:r>
              <w:rPr>
                <w:rStyle w:val="HTMLCode"/>
                <w:color w:val="1A1F2B"/>
              </w:rPr>
              <w:t>AuditGuard</w:t>
            </w:r>
          </w:p>
        </w:tc>
        <w:tc>
          <w:tcPr>
            <w:tcW w:w="0" w:type="auto"/>
            <w:tcBorders>
              <w:bottom w:val="single" w:sz="6" w:space="0" w:color="E2E6EA"/>
            </w:tcBorders>
            <w:vAlign w:val="center"/>
            <w:hideMark/>
          </w:tcPr>
          <w:p w14:paraId="3B2552B9"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An AuditEntry must be successfully written before the transition completes</w:t>
            </w:r>
          </w:p>
        </w:tc>
      </w:tr>
    </w:tbl>
    <w:p w14:paraId="6A62DC83" w14:textId="77777777" w:rsidR="00D35585" w:rsidRDefault="00D35585">
      <w:pPr>
        <w:pStyle w:val="Heading1"/>
        <w:rPr>
          <w:rFonts w:ascii="Segoe UI" w:eastAsia="Times New Roman" w:hAnsi="Segoe UI" w:cs="Segoe UI"/>
          <w:lang w:val="en"/>
        </w:rPr>
      </w:pPr>
    </w:p>
    <w:p w14:paraId="75BA1921" w14:textId="77777777" w:rsidR="00D35585" w:rsidRDefault="00D35585">
      <w:pPr>
        <w:pStyle w:val="Heading1"/>
        <w:rPr>
          <w:rFonts w:ascii="Segoe UI" w:eastAsia="Times New Roman" w:hAnsi="Segoe UI" w:cs="Segoe UI"/>
          <w:lang w:val="en"/>
        </w:rPr>
      </w:pPr>
    </w:p>
    <w:p w14:paraId="1681E441" w14:textId="77777777" w:rsidR="00D35585" w:rsidRDefault="00D35585">
      <w:pPr>
        <w:pStyle w:val="Heading1"/>
        <w:rPr>
          <w:rFonts w:ascii="Segoe UI" w:eastAsia="Times New Roman" w:hAnsi="Segoe UI" w:cs="Segoe UI"/>
          <w:lang w:val="en"/>
        </w:rPr>
      </w:pPr>
    </w:p>
    <w:p w14:paraId="77F66ADD" w14:textId="77777777" w:rsidR="00D35585" w:rsidRDefault="00D35585">
      <w:pPr>
        <w:pStyle w:val="Heading1"/>
        <w:rPr>
          <w:rFonts w:ascii="Segoe UI" w:eastAsia="Times New Roman" w:hAnsi="Segoe UI" w:cs="Segoe UI"/>
          <w:lang w:val="en"/>
        </w:rPr>
      </w:pPr>
    </w:p>
    <w:p w14:paraId="05E1AF3B" w14:textId="77777777" w:rsidR="00D35585" w:rsidRDefault="00D35585">
      <w:pPr>
        <w:pStyle w:val="Heading1"/>
        <w:rPr>
          <w:rFonts w:ascii="Segoe UI" w:eastAsia="Times New Roman" w:hAnsi="Segoe UI" w:cs="Segoe UI"/>
          <w:lang w:val="en"/>
        </w:rPr>
      </w:pPr>
    </w:p>
    <w:p w14:paraId="71406CAF" w14:textId="77777777" w:rsidR="00D35585" w:rsidRDefault="00D35585">
      <w:pPr>
        <w:pStyle w:val="Heading1"/>
        <w:rPr>
          <w:rFonts w:ascii="Segoe UI" w:eastAsia="Times New Roman" w:hAnsi="Segoe UI" w:cs="Segoe UI"/>
          <w:lang w:val="en"/>
        </w:rPr>
      </w:pPr>
    </w:p>
    <w:p w14:paraId="5AD4FD98" w14:textId="77777777" w:rsidR="00D35585" w:rsidRDefault="00D35585">
      <w:pPr>
        <w:pStyle w:val="Heading1"/>
        <w:rPr>
          <w:rFonts w:ascii="Segoe UI" w:eastAsia="Times New Roman" w:hAnsi="Segoe UI" w:cs="Segoe UI"/>
          <w:lang w:val="en"/>
        </w:rPr>
      </w:pPr>
    </w:p>
    <w:p w14:paraId="1323DC0C" w14:textId="77777777" w:rsidR="00D35585" w:rsidRDefault="00D35585">
      <w:pPr>
        <w:pStyle w:val="Heading1"/>
        <w:rPr>
          <w:rFonts w:ascii="Segoe UI" w:eastAsia="Times New Roman" w:hAnsi="Segoe UI" w:cs="Segoe UI"/>
          <w:lang w:val="en"/>
        </w:rPr>
      </w:pPr>
    </w:p>
    <w:p w14:paraId="3D2C07E7" w14:textId="77777777" w:rsidR="00D35585" w:rsidRDefault="00D35585">
      <w:pPr>
        <w:pStyle w:val="Heading1"/>
        <w:rPr>
          <w:rFonts w:ascii="Segoe UI" w:eastAsia="Times New Roman" w:hAnsi="Segoe UI" w:cs="Segoe UI"/>
          <w:lang w:val="en"/>
        </w:rPr>
      </w:pPr>
    </w:p>
    <w:p w14:paraId="489DC059" w14:textId="77777777" w:rsidR="00D35585" w:rsidRDefault="00D35585">
      <w:pPr>
        <w:pStyle w:val="Heading1"/>
        <w:rPr>
          <w:rFonts w:ascii="Segoe UI" w:eastAsia="Times New Roman" w:hAnsi="Segoe UI" w:cs="Segoe UI"/>
          <w:lang w:val="en"/>
        </w:rPr>
      </w:pPr>
    </w:p>
    <w:p w14:paraId="2BC897C6" w14:textId="66E8E90D" w:rsidR="00000000" w:rsidRDefault="00000000">
      <w:pPr>
        <w:pStyle w:val="Heading1"/>
        <w:rPr>
          <w:rFonts w:ascii="Segoe UI" w:eastAsia="Times New Roman" w:hAnsi="Segoe UI" w:cs="Segoe UI"/>
          <w:lang w:val="en"/>
        </w:rPr>
      </w:pPr>
      <w:r>
        <w:rPr>
          <w:rFonts w:ascii="Segoe UI" w:eastAsia="Times New Roman" w:hAnsi="Segoe UI" w:cs="Segoe UI"/>
          <w:lang w:val="en"/>
        </w:rPr>
        <w:t>4. The Section 35 Letter Workflow</w:t>
      </w:r>
    </w:p>
    <w:p w14:paraId="3F72E068" w14:textId="61E110DC" w:rsidR="00D35585" w:rsidRDefault="00D35585">
      <w:pPr>
        <w:rPr>
          <w:rFonts w:ascii="Segoe UI" w:eastAsia="Times New Roman" w:hAnsi="Segoe UI" w:cs="Segoe UI"/>
          <w:color w:val="1A1F2B"/>
          <w:sz w:val="22"/>
          <w:szCs w:val="22"/>
          <w:lang w:val="en"/>
        </w:rPr>
      </w:pPr>
      <w:r w:rsidRPr="00D35585">
        <w:rPr>
          <w:rFonts w:ascii="Segoe UI" w:eastAsia="Times New Roman" w:hAnsi="Segoe UI" w:cs="Segoe UI"/>
          <w:color w:val="1A1F2B"/>
          <w:sz w:val="22"/>
          <w:szCs w:val="22"/>
          <w:lang w:val="en"/>
        </w:rPr>
        <w:lastRenderedPageBreak/>
        <w:drawing>
          <wp:inline distT="0" distB="0" distL="0" distR="0" wp14:anchorId="1250A104" wp14:editId="7A960B7D">
            <wp:extent cx="3574473" cy="8229600"/>
            <wp:effectExtent l="0" t="0" r="0" b="0"/>
            <wp:docPr id="106875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51104" name=""/>
                    <pic:cNvPicPr/>
                  </pic:nvPicPr>
                  <pic:blipFill>
                    <a:blip r:embed="rId8"/>
                    <a:stretch>
                      <a:fillRect/>
                    </a:stretch>
                  </pic:blipFill>
                  <pic:spPr>
                    <a:xfrm>
                      <a:off x="0" y="0"/>
                      <a:ext cx="3583087" cy="8249433"/>
                    </a:xfrm>
                    <a:prstGeom prst="rect">
                      <a:avLst/>
                    </a:prstGeom>
                  </pic:spPr>
                </pic:pic>
              </a:graphicData>
            </a:graphic>
          </wp:inline>
        </w:drawing>
      </w:r>
    </w:p>
    <w:p w14:paraId="49734665" w14:textId="57E67712" w:rsidR="00000000" w:rsidRDefault="00000000">
      <w:pPr>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lastRenderedPageBreak/>
        <w:t xml:space="preserve">Figure 2 — Letters Workflow Engine: the nested state machine governing all Section 35 correspondence, from Letter 1 creation through enforcement completion. </w:t>
      </w:r>
    </w:p>
    <w:p w14:paraId="666064C2"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4.1 Overview</w:t>
      </w:r>
    </w:p>
    <w:p w14:paraId="1B065F0A"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Section 35 Letter Workflow is a </w:t>
      </w:r>
      <w:r>
        <w:rPr>
          <w:rStyle w:val="Strong"/>
          <w:rFonts w:ascii="Segoe UI" w:hAnsi="Segoe UI" w:cs="Segoe UI"/>
          <w:color w:val="1A1F2B"/>
          <w:sz w:val="22"/>
          <w:szCs w:val="22"/>
          <w:lang w:val="en"/>
        </w:rPr>
        <w:t>nested state machine</w:t>
      </w:r>
      <w:r>
        <w:rPr>
          <w:rFonts w:ascii="Segoe UI" w:hAnsi="Segoe UI" w:cs="Segoe UI"/>
          <w:color w:val="1A1F2B"/>
          <w:sz w:val="22"/>
          <w:szCs w:val="22"/>
          <w:lang w:val="en"/>
        </w:rPr>
        <w:t xml:space="preserve"> that activates after Control Point 9 (CP9) is complete. It governs the generation, signing, issuance, tracking, and response handling of all statutory letters required by Sections 35 and 53 of the National Water Act. </w:t>
      </w:r>
    </w:p>
    <w:p w14:paraId="5E78C013"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As shown in Figure 2, each letter follows a standard lifecycle: </w:t>
      </w:r>
    </w:p>
    <w:p w14:paraId="596D70A4" w14:textId="77777777" w:rsidR="00000000" w:rsidRDefault="00000000">
      <w:pPr>
        <w:numPr>
          <w:ilvl w:val="0"/>
          <w:numId w:val="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Generated</w:t>
      </w:r>
      <w:r>
        <w:rPr>
          <w:rFonts w:ascii="Segoe UI" w:eastAsia="Times New Roman" w:hAnsi="Segoe UI" w:cs="Segoe UI"/>
          <w:color w:val="1A1F2B"/>
          <w:sz w:val="22"/>
          <w:szCs w:val="22"/>
          <w:lang w:val="en"/>
        </w:rPr>
        <w:t xml:space="preserve"> — The PDF is created by the LetterService using QuestPDF templates</w:t>
      </w:r>
    </w:p>
    <w:p w14:paraId="56873851" w14:textId="77777777" w:rsidR="00000000" w:rsidRDefault="00000000">
      <w:pPr>
        <w:numPr>
          <w:ilvl w:val="0"/>
          <w:numId w:val="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Signed</w:t>
      </w:r>
      <w:r>
        <w:rPr>
          <w:rFonts w:ascii="Segoe UI" w:eastAsia="Times New Roman" w:hAnsi="Segoe UI" w:cs="Segoe UI"/>
          <w:color w:val="1A1F2B"/>
          <w:sz w:val="22"/>
          <w:szCs w:val="22"/>
          <w:lang w:val="en"/>
        </w:rPr>
        <w:t xml:space="preserve"> — An authorised signatory (RegionalManager or above) applies an electronic signature</w:t>
      </w:r>
    </w:p>
    <w:p w14:paraId="1C88551E" w14:textId="77777777" w:rsidR="00000000" w:rsidRDefault="00000000">
      <w:pPr>
        <w:numPr>
          <w:ilvl w:val="0"/>
          <w:numId w:val="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Issued</w:t>
      </w:r>
      <w:r>
        <w:rPr>
          <w:rFonts w:ascii="Segoe UI" w:eastAsia="Times New Roman" w:hAnsi="Segoe UI" w:cs="Segoe UI"/>
          <w:color w:val="1A1F2B"/>
          <w:sz w:val="22"/>
          <w:szCs w:val="22"/>
          <w:lang w:val="en"/>
        </w:rPr>
        <w:t xml:space="preserve"> — The letter is dispatched to the water user via the appropriate delivery method</w:t>
      </w:r>
    </w:p>
    <w:p w14:paraId="353623A2" w14:textId="77777777" w:rsidR="00000000" w:rsidRDefault="00000000">
      <w:pPr>
        <w:numPr>
          <w:ilvl w:val="0"/>
          <w:numId w:val="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Awaiting</w:t>
      </w:r>
      <w:r>
        <w:rPr>
          <w:rFonts w:ascii="Segoe UI" w:eastAsia="Times New Roman" w:hAnsi="Segoe UI" w:cs="Segoe UI"/>
          <w:color w:val="1A1F2B"/>
          <w:sz w:val="22"/>
          <w:szCs w:val="22"/>
          <w:lang w:val="en"/>
        </w:rPr>
        <w:t xml:space="preserve"> — The system tracks the statutory response period</w:t>
      </w:r>
    </w:p>
    <w:p w14:paraId="7901DF7B" w14:textId="77777777" w:rsidR="00000000" w:rsidRDefault="00000000">
      <w:pPr>
        <w:numPr>
          <w:ilvl w:val="0"/>
          <w:numId w:val="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Response / Escalation</w:t>
      </w:r>
      <w:r>
        <w:rPr>
          <w:rFonts w:ascii="Segoe UI" w:eastAsia="Times New Roman" w:hAnsi="Segoe UI" w:cs="Segoe UI"/>
          <w:color w:val="1A1F2B"/>
          <w:sz w:val="22"/>
          <w:szCs w:val="22"/>
          <w:lang w:val="en"/>
        </w:rPr>
        <w:t xml:space="preserve"> — The user responds (agreed/not agreed) or fails to respond, triggering the next letter in the sequence</w:t>
      </w:r>
    </w:p>
    <w:p w14:paraId="57E76586" w14:textId="77777777" w:rsidR="00000000" w:rsidRDefault="00000000">
      <w:pPr>
        <w:shd w:val="clear" w:color="auto" w:fill="F0F6FC"/>
        <w:divId w:val="1393651484"/>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Letter Issuance Records</w:t>
      </w:r>
    </w:p>
    <w:p w14:paraId="632E9879" w14:textId="77777777" w:rsidR="00000000" w:rsidRDefault="00000000">
      <w:pPr>
        <w:shd w:val="clear" w:color="auto" w:fill="F0F6FC"/>
        <w:divId w:val="773785334"/>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Every letter transition records: </w:t>
      </w:r>
      <w:r>
        <w:rPr>
          <w:rStyle w:val="HTMLCode"/>
          <w:color w:val="1A1F2B"/>
          <w:lang w:val="en"/>
        </w:rPr>
        <w:t>IssuedDate</w:t>
      </w:r>
      <w:r>
        <w:rPr>
          <w:rFonts w:ascii="Segoe UI" w:eastAsia="Times New Roman" w:hAnsi="Segoe UI" w:cs="Segoe UI"/>
          <w:color w:val="1A1F2B"/>
          <w:sz w:val="20"/>
          <w:szCs w:val="20"/>
          <w:lang w:val="en"/>
        </w:rPr>
        <w:t xml:space="preserve">, </w:t>
      </w:r>
      <w:r>
        <w:rPr>
          <w:rStyle w:val="HTMLCode"/>
          <w:color w:val="1A1F2B"/>
          <w:lang w:val="en"/>
        </w:rPr>
        <w:t>IssuedByUserId</w:t>
      </w:r>
      <w:r>
        <w:rPr>
          <w:rFonts w:ascii="Segoe UI" w:eastAsia="Times New Roman" w:hAnsi="Segoe UI" w:cs="Segoe UI"/>
          <w:color w:val="1A1F2B"/>
          <w:sz w:val="20"/>
          <w:szCs w:val="20"/>
          <w:lang w:val="en"/>
        </w:rPr>
        <w:t xml:space="preserve">, </w:t>
      </w:r>
      <w:r>
        <w:rPr>
          <w:rStyle w:val="HTMLCode"/>
          <w:color w:val="1A1F2B"/>
          <w:lang w:val="en"/>
        </w:rPr>
        <w:t>SignedByUserId</w:t>
      </w:r>
      <w:r>
        <w:rPr>
          <w:rFonts w:ascii="Segoe UI" w:eastAsia="Times New Roman" w:hAnsi="Segoe UI" w:cs="Segoe UI"/>
          <w:color w:val="1A1F2B"/>
          <w:sz w:val="20"/>
          <w:szCs w:val="20"/>
          <w:lang w:val="en"/>
        </w:rPr>
        <w:t xml:space="preserve">, </w:t>
      </w:r>
      <w:r>
        <w:rPr>
          <w:rStyle w:val="HTMLCode"/>
          <w:color w:val="1A1F2B"/>
          <w:lang w:val="en"/>
        </w:rPr>
        <w:t>DeliveryMethod</w:t>
      </w:r>
      <w:r>
        <w:rPr>
          <w:rFonts w:ascii="Segoe UI" w:eastAsia="Times New Roman" w:hAnsi="Segoe UI" w:cs="Segoe UI"/>
          <w:color w:val="1A1F2B"/>
          <w:sz w:val="20"/>
          <w:szCs w:val="20"/>
          <w:lang w:val="en"/>
        </w:rPr>
        <w:t xml:space="preserve">, </w:t>
      </w:r>
      <w:r>
        <w:rPr>
          <w:rStyle w:val="HTMLCode"/>
          <w:color w:val="1A1F2B"/>
          <w:lang w:val="en"/>
        </w:rPr>
        <w:t>PostalRegistrationNumber</w:t>
      </w:r>
      <w:r>
        <w:rPr>
          <w:rFonts w:ascii="Segoe UI" w:eastAsia="Times New Roman" w:hAnsi="Segoe UI" w:cs="Segoe UI"/>
          <w:color w:val="1A1F2B"/>
          <w:sz w:val="20"/>
          <w:szCs w:val="20"/>
          <w:lang w:val="en"/>
        </w:rPr>
        <w:t xml:space="preserve"> (if registered post), </w:t>
      </w:r>
      <w:r>
        <w:rPr>
          <w:rStyle w:val="HTMLCode"/>
          <w:color w:val="1A1F2B"/>
          <w:lang w:val="en"/>
        </w:rPr>
        <w:t>DueDate</w:t>
      </w:r>
      <w:r>
        <w:rPr>
          <w:rFonts w:ascii="Segoe UI" w:eastAsia="Times New Roman" w:hAnsi="Segoe UI" w:cs="Segoe UI"/>
          <w:color w:val="1A1F2B"/>
          <w:sz w:val="20"/>
          <w:szCs w:val="20"/>
          <w:lang w:val="en"/>
        </w:rPr>
        <w:t xml:space="preserve">, and </w:t>
      </w:r>
      <w:r>
        <w:rPr>
          <w:rStyle w:val="HTMLCode"/>
          <w:color w:val="1A1F2B"/>
          <w:lang w:val="en"/>
        </w:rPr>
        <w:t>ResponseReceivedDate</w:t>
      </w:r>
      <w:r>
        <w:rPr>
          <w:rFonts w:ascii="Segoe UI" w:eastAsia="Times New Roman" w:hAnsi="Segoe UI" w:cs="Segoe UI"/>
          <w:color w:val="1A1F2B"/>
          <w:sz w:val="20"/>
          <w:szCs w:val="20"/>
          <w:lang w:val="en"/>
        </w:rPr>
        <w:t xml:space="preserve">. These fields form the evidentiary record for legal compliance. </w:t>
      </w:r>
    </w:p>
    <w:p w14:paraId="0D9C4F26"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4.2 Letter 1: S35(1) Notice to Apply</w:t>
      </w:r>
    </w:p>
    <w:p w14:paraId="40951B94"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Letter 1 is the initiating notice under Section 35(1) of the National Water Act, informing the water user that their existing water use is being verified and requesting them to apply for verification. The letter lifecycle is: </w:t>
      </w:r>
    </w:p>
    <w:p w14:paraId="334FCE24" w14:textId="77777777" w:rsidR="00000000" w:rsidRDefault="00000000">
      <w:pPr>
        <w:pStyle w:val="NormalWeb"/>
        <w:rPr>
          <w:rFonts w:ascii="Segoe UI" w:hAnsi="Segoe UI" w:cs="Segoe UI"/>
          <w:color w:val="1A1F2B"/>
          <w:sz w:val="22"/>
          <w:szCs w:val="22"/>
          <w:lang w:val="en"/>
        </w:rPr>
      </w:pPr>
      <w:r>
        <w:rPr>
          <w:rStyle w:val="Strong"/>
          <w:rFonts w:ascii="Segoe UI" w:hAnsi="Segoe UI" w:cs="Segoe UI"/>
          <w:color w:val="1A1F2B"/>
          <w:sz w:val="22"/>
          <w:szCs w:val="22"/>
          <w:lang w:val="en"/>
        </w:rPr>
        <w:t>Letter 1 Created → L1_Generated → L1_Signed → L1_Issued → L1_Awaiting</w:t>
      </w:r>
      <w:r>
        <w:rPr>
          <w:rFonts w:ascii="Segoe UI" w:hAnsi="Segoe UI" w:cs="Segoe UI"/>
          <w:color w:val="1A1F2B"/>
          <w:sz w:val="22"/>
          <w:szCs w:val="22"/>
          <w:lang w:val="en"/>
        </w:rPr>
        <w:t xml:space="preserve"> </w:t>
      </w:r>
    </w:p>
    <w:p w14:paraId="17A3F899" w14:textId="77777777" w:rsidR="00000000" w:rsidRDefault="00000000">
      <w:pPr>
        <w:shd w:val="clear" w:color="auto" w:fill="F0F6FC"/>
        <w:divId w:val="498346354"/>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Personal Service Requirement</w:t>
      </w:r>
    </w:p>
    <w:p w14:paraId="0884BDEF" w14:textId="77777777" w:rsidR="00000000" w:rsidRDefault="00000000">
      <w:pPr>
        <w:shd w:val="clear" w:color="auto" w:fill="F0F6FC"/>
        <w:divId w:val="291450203"/>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Letter 1 </w:t>
      </w:r>
      <w:r>
        <w:rPr>
          <w:rStyle w:val="Strong"/>
          <w:rFonts w:ascii="Segoe UI" w:eastAsia="Times New Roman" w:hAnsi="Segoe UI" w:cs="Segoe UI"/>
          <w:color w:val="1A1F2B"/>
          <w:sz w:val="20"/>
          <w:szCs w:val="20"/>
          <w:lang w:val="en"/>
        </w:rPr>
        <w:t>must be served in person</w:t>
      </w:r>
      <w:r>
        <w:rPr>
          <w:rFonts w:ascii="Segoe UI" w:eastAsia="Times New Roman" w:hAnsi="Segoe UI" w:cs="Segoe UI"/>
          <w:color w:val="1A1F2B"/>
          <w:sz w:val="20"/>
          <w:szCs w:val="20"/>
          <w:lang w:val="en"/>
        </w:rPr>
        <w:t xml:space="preserve"> — by hand delivery through a DWS official, authorised agent, or sheriff of the court. The system records the serving official's identity, the date and time of delivery, and the GPS coordinates of delivery where available. This is a non-negotiable legal requirement under the NWA. </w:t>
      </w:r>
    </w:p>
    <w:p w14:paraId="67771DB6"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Regional Manager (or delegated authority) signs the letter electronically before issuance. After issuance, the system enters the </w:t>
      </w:r>
      <w:r>
        <w:rPr>
          <w:rStyle w:val="Strong"/>
          <w:rFonts w:ascii="Segoe UI" w:hAnsi="Segoe UI" w:cs="Segoe UI"/>
          <w:color w:val="1A1F2B"/>
          <w:sz w:val="22"/>
          <w:szCs w:val="22"/>
          <w:lang w:val="en"/>
        </w:rPr>
        <w:t>L1_Awaiting</w:t>
      </w:r>
      <w:r>
        <w:rPr>
          <w:rFonts w:ascii="Segoe UI" w:hAnsi="Segoe UI" w:cs="Segoe UI"/>
          <w:color w:val="1A1F2B"/>
          <w:sz w:val="22"/>
          <w:szCs w:val="22"/>
          <w:lang w:val="en"/>
        </w:rPr>
        <w:t xml:space="preserve"> state and monitors three possible outcomes: </w:t>
      </w:r>
    </w:p>
    <w:p w14:paraId="5FBBCF8B" w14:textId="77777777" w:rsidR="00000000" w:rsidRDefault="00000000">
      <w:pPr>
        <w:numPr>
          <w:ilvl w:val="0"/>
          <w:numId w:val="9"/>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L1_Agreed</w:t>
      </w:r>
      <w:r>
        <w:rPr>
          <w:rFonts w:ascii="Segoe UI" w:eastAsia="Times New Roman" w:hAnsi="Segoe UI" w:cs="Segoe UI"/>
          <w:color w:val="1A1F2B"/>
          <w:sz w:val="22"/>
          <w:szCs w:val="22"/>
          <w:lang w:val="en"/>
        </w:rPr>
        <w:t xml:space="preserve"> — The water user responds within the statutory period and agrees with the verification. The case advances to Letter 3 (ELU confirmation).</w:t>
      </w:r>
    </w:p>
    <w:p w14:paraId="4315EE13" w14:textId="77777777" w:rsidR="00000000" w:rsidRDefault="00000000">
      <w:pPr>
        <w:numPr>
          <w:ilvl w:val="0"/>
          <w:numId w:val="9"/>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lastRenderedPageBreak/>
        <w:t>L1_NotAgreed</w:t>
      </w:r>
      <w:r>
        <w:rPr>
          <w:rFonts w:ascii="Segoe UI" w:eastAsia="Times New Roman" w:hAnsi="Segoe UI" w:cs="Segoe UI"/>
          <w:color w:val="1A1F2B"/>
          <w:sz w:val="22"/>
          <w:szCs w:val="22"/>
          <w:lang w:val="en"/>
        </w:rPr>
        <w:t xml:space="preserve"> — The water user responds but disagrees. This may trigger Letter 2 (request for additional information) or proceed to further review.</w:t>
      </w:r>
    </w:p>
    <w:p w14:paraId="3B5B1BEE" w14:textId="77777777" w:rsidR="00000000" w:rsidRDefault="00000000">
      <w:pPr>
        <w:numPr>
          <w:ilvl w:val="0"/>
          <w:numId w:val="9"/>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No Response</w:t>
      </w:r>
      <w:r>
        <w:rPr>
          <w:rFonts w:ascii="Segoe UI" w:eastAsia="Times New Roman" w:hAnsi="Segoe UI" w:cs="Segoe UI"/>
          <w:color w:val="1A1F2B"/>
          <w:sz w:val="22"/>
          <w:szCs w:val="22"/>
          <w:lang w:val="en"/>
        </w:rPr>
        <w:t xml:space="preserve"> — The statutory period expires without a response. The case escalates to Letter 1A.</w:t>
      </w:r>
    </w:p>
    <w:p w14:paraId="314B48D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Additionally, a </w:t>
      </w:r>
      <w:r>
        <w:rPr>
          <w:rStyle w:val="Strong"/>
          <w:rFonts w:ascii="Segoe UI" w:hAnsi="Segoe UI" w:cs="Segoe UI"/>
          <w:color w:val="1A1F2B"/>
          <w:sz w:val="22"/>
          <w:szCs w:val="22"/>
          <w:lang w:val="en"/>
        </w:rPr>
        <w:t>Return to Sender</w:t>
      </w:r>
      <w:r>
        <w:rPr>
          <w:rFonts w:ascii="Segoe UI" w:hAnsi="Segoe UI" w:cs="Segoe UI"/>
          <w:color w:val="1A1F2B"/>
          <w:sz w:val="22"/>
          <w:szCs w:val="22"/>
          <w:lang w:val="en"/>
        </w:rPr>
        <w:t xml:space="preserve"> branch handles undeliverable letters: the state transitions to </w:t>
      </w:r>
      <w:r>
        <w:rPr>
          <w:rStyle w:val="Strong"/>
          <w:rFonts w:ascii="Segoe UI" w:hAnsi="Segoe UI" w:cs="Segoe UI"/>
          <w:color w:val="1A1F2B"/>
          <w:sz w:val="22"/>
          <w:szCs w:val="22"/>
          <w:lang w:val="en"/>
        </w:rPr>
        <w:t>L1_RTS</w:t>
      </w:r>
      <w:r>
        <w:rPr>
          <w:rFonts w:ascii="Segoe UI" w:hAnsi="Segoe UI" w:cs="Segoe UI"/>
          <w:color w:val="1A1F2B"/>
          <w:sz w:val="22"/>
          <w:szCs w:val="22"/>
          <w:lang w:val="en"/>
        </w:rPr>
        <w:t xml:space="preserve">, and the letter may be reissued with an updated address or alternative delivery method. </w:t>
      </w:r>
    </w:p>
    <w:p w14:paraId="303514C0"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4.3 Letter 1A: S53(1) Directive</w:t>
      </w:r>
    </w:p>
    <w:p w14:paraId="7F69E4A2"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Letter 1A is an escalation under Section 53(1) — a formal directive issued when the water user fails to respond to Letter 1. It follows the same lifecycle as Letter 1 (Created → Generated → Signed → Issued → Awaiting) and carries stronger legal force. The directive compels the water user to apply for verification within a specified period, with consequences for continued non-compliance. </w:t>
      </w:r>
    </w:p>
    <w:p w14:paraId="1C7527B8"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Upon response to Letter 1A (</w:t>
      </w:r>
      <w:r>
        <w:rPr>
          <w:rStyle w:val="Strong"/>
          <w:rFonts w:ascii="Segoe UI" w:hAnsi="Segoe UI" w:cs="Segoe UI"/>
          <w:color w:val="1A1F2B"/>
          <w:sz w:val="22"/>
          <w:szCs w:val="22"/>
          <w:lang w:val="en"/>
        </w:rPr>
        <w:t>L1A_Responded</w:t>
      </w:r>
      <w:r>
        <w:rPr>
          <w:rFonts w:ascii="Segoe UI" w:hAnsi="Segoe UI" w:cs="Segoe UI"/>
          <w:color w:val="1A1F2B"/>
          <w:sz w:val="22"/>
          <w:szCs w:val="22"/>
          <w:lang w:val="en"/>
        </w:rPr>
        <w:t xml:space="preserve">), the case returns to the standard correspondence flow. If no response is received, the case may escalate to enforcement (Letters 4A and 4&amp;5). </w:t>
      </w:r>
    </w:p>
    <w:p w14:paraId="558183E7"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4.4 Letter 2: S35(3)(a) Request for Additional Information</w:t>
      </w:r>
    </w:p>
    <w:p w14:paraId="64AE0863"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Letter 2 is issued under Section 35(3)(a) when the responsible authority requires additional information to complete the verification. This typically arises when: </w:t>
      </w:r>
    </w:p>
    <w:p w14:paraId="0384A525" w14:textId="77777777" w:rsidR="00000000" w:rsidRDefault="00000000">
      <w:pPr>
        <w:numPr>
          <w:ilvl w:val="0"/>
          <w:numId w:val="10"/>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The water user disputes the technical findings and provides counter-evidence that requires evaluation</w:t>
      </w:r>
    </w:p>
    <w:p w14:paraId="12C0347E" w14:textId="77777777" w:rsidR="00000000" w:rsidRDefault="00000000">
      <w:pPr>
        <w:numPr>
          <w:ilvl w:val="0"/>
          <w:numId w:val="10"/>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Documentary gaps exist (missing title deeds, permits, or historical records)</w:t>
      </w:r>
    </w:p>
    <w:p w14:paraId="72AA7427" w14:textId="77777777" w:rsidR="00000000" w:rsidRDefault="00000000">
      <w:pPr>
        <w:numPr>
          <w:ilvl w:val="0"/>
          <w:numId w:val="10"/>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The GIS analysis reveals anomalies that require field verification by the water user</w:t>
      </w:r>
    </w:p>
    <w:p w14:paraId="1036E6B8"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The letter specifies exactly what information is required and sets a deadline for submission. Upon receipt of the response (</w:t>
      </w:r>
      <w:r>
        <w:rPr>
          <w:rStyle w:val="Strong"/>
          <w:rFonts w:ascii="Segoe UI" w:hAnsi="Segoe UI" w:cs="Segoe UI"/>
          <w:color w:val="1A1F2B"/>
          <w:sz w:val="22"/>
          <w:szCs w:val="22"/>
          <w:lang w:val="en"/>
        </w:rPr>
        <w:t>L2_Responded</w:t>
      </w:r>
      <w:r>
        <w:rPr>
          <w:rFonts w:ascii="Segoe UI" w:hAnsi="Segoe UI" w:cs="Segoe UI"/>
          <w:color w:val="1A1F2B"/>
          <w:sz w:val="22"/>
          <w:szCs w:val="22"/>
          <w:lang w:val="en"/>
        </w:rPr>
        <w:t xml:space="preserve">), the additional information is incorporated into the case and the technical evaluation may be revisited. </w:t>
      </w:r>
    </w:p>
    <w:p w14:paraId="253DDF90"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4.5 Letter 2A: S35(1) Directive for Information</w:t>
      </w:r>
    </w:p>
    <w:p w14:paraId="51B64C1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Letter 2A is the enforcement escalation for Letter 2 — issued under Section 35(1) as a formal directive when the water user fails to provide the additional information requested in Letter 2 within the statutory period. It follows the standard letter lifecycle and carries the same legal weight as Letter 1A. </w:t>
      </w:r>
    </w:p>
    <w:p w14:paraId="5990D6DB"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lastRenderedPageBreak/>
        <w:t>4.6 Letter 3: S35(4) ELU Confirmation</w:t>
      </w:r>
    </w:p>
    <w:p w14:paraId="248F6F9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Letter 3 is the culmination of the V&amp;V process for compliant cases — the </w:t>
      </w:r>
      <w:r>
        <w:rPr>
          <w:rStyle w:val="Strong"/>
          <w:rFonts w:ascii="Segoe UI" w:hAnsi="Segoe UI" w:cs="Segoe UI"/>
          <w:color w:val="1A1F2B"/>
          <w:sz w:val="22"/>
          <w:szCs w:val="22"/>
          <w:lang w:val="en"/>
        </w:rPr>
        <w:t>Section 35(4) certificate</w:t>
      </w:r>
      <w:r>
        <w:rPr>
          <w:rFonts w:ascii="Segoe UI" w:hAnsi="Segoe UI" w:cs="Segoe UI"/>
          <w:color w:val="1A1F2B"/>
          <w:sz w:val="22"/>
          <w:szCs w:val="22"/>
          <w:lang w:val="en"/>
        </w:rPr>
        <w:t xml:space="preserve"> that formally confirms the extent and lawfulness of the water user's existing water use. This letter is signed by the responsible authority and constitutes an official determination under the National Water Act. </w:t>
      </w:r>
    </w:p>
    <w:p w14:paraId="2DB9D4F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issuance of Letter 3 leads to one of two outcomes: </w:t>
      </w:r>
    </w:p>
    <w:p w14:paraId="4D2CF0E2" w14:textId="77777777" w:rsidR="00000000" w:rsidRDefault="00000000">
      <w:pPr>
        <w:numPr>
          <w:ilvl w:val="0"/>
          <w:numId w:val="11"/>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ELU Confirmed</w:t>
      </w:r>
      <w:r>
        <w:rPr>
          <w:rFonts w:ascii="Segoe UI" w:eastAsia="Times New Roman" w:hAnsi="Segoe UI" w:cs="Segoe UI"/>
          <w:color w:val="1A1F2B"/>
          <w:sz w:val="22"/>
          <w:szCs w:val="22"/>
          <w:lang w:val="en"/>
        </w:rPr>
        <w:t xml:space="preserve"> — All water use is determined to be lawful. The case transitions to </w:t>
      </w:r>
      <w:r>
        <w:rPr>
          <w:rStyle w:val="Strong"/>
          <w:rFonts w:ascii="Segoe UI" w:eastAsia="Times New Roman" w:hAnsi="Segoe UI" w:cs="Segoe UI"/>
          <w:color w:val="1A1F2B"/>
          <w:sz w:val="22"/>
          <w:szCs w:val="22"/>
          <w:lang w:val="en"/>
        </w:rPr>
        <w:t>Case Complete</w:t>
      </w:r>
      <w:r>
        <w:rPr>
          <w:rFonts w:ascii="Segoe UI" w:eastAsia="Times New Roman" w:hAnsi="Segoe UI" w:cs="Segoe UI"/>
          <w:color w:val="1A1F2B"/>
          <w:sz w:val="22"/>
          <w:szCs w:val="22"/>
          <w:lang w:val="en"/>
        </w:rPr>
        <w:t xml:space="preserve"> and is archived.</w:t>
      </w:r>
    </w:p>
    <w:p w14:paraId="5021FB6C" w14:textId="77777777" w:rsidR="00000000" w:rsidRDefault="00000000">
      <w:pPr>
        <w:numPr>
          <w:ilvl w:val="0"/>
          <w:numId w:val="11"/>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Unlawful Use Identified</w:t>
      </w:r>
      <w:r>
        <w:rPr>
          <w:rFonts w:ascii="Segoe UI" w:eastAsia="Times New Roman" w:hAnsi="Segoe UI" w:cs="Segoe UI"/>
          <w:color w:val="1A1F2B"/>
          <w:sz w:val="22"/>
          <w:szCs w:val="22"/>
          <w:lang w:val="en"/>
        </w:rPr>
        <w:t xml:space="preserve"> — The determination reveals water use that exceeds the ELU or lacks legal authorisation. The case branches to enforcement (Letters 4A and 4&amp;5).</w:t>
      </w:r>
    </w:p>
    <w:p w14:paraId="42B73899" w14:textId="77777777" w:rsidR="00000000" w:rsidRDefault="00000000">
      <w:pPr>
        <w:shd w:val="clear" w:color="auto" w:fill="F0F6FC"/>
        <w:divId w:val="689987457"/>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The ELU Certificate</w:t>
      </w:r>
    </w:p>
    <w:p w14:paraId="0A0321AC" w14:textId="77777777" w:rsidR="00000000" w:rsidRDefault="00000000">
      <w:pPr>
        <w:shd w:val="clear" w:color="auto" w:fill="F0F6FC"/>
        <w:divId w:val="2094399811"/>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Letter 3 is the single most important output of the V&amp;V process. It provides legal certainty to the water user regarding their existing lawful use and forms the basis for future water use licensing decisions. The system must ensure this letter is generated with complete accuracy, properly signed, and securely stored. </w:t>
      </w:r>
    </w:p>
    <w:p w14:paraId="352F8007"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4.7 Letters 4A and 4&amp;5: Enforcement</w:t>
      </w:r>
    </w:p>
    <w:p w14:paraId="7A4F5D63"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When unlawful water use is identified and the water user fails to regularise their use, the enforcement sequence is initiated: </w:t>
      </w:r>
    </w:p>
    <w:p w14:paraId="51BE9ECB"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Letter 4A — S53(1) Notice of Intent</w:t>
      </w:r>
    </w:p>
    <w:p w14:paraId="18DEA6F1"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 formal notice informing the water user that the responsible authority intends to issue a directive to stop unlawful water use. This provides a final opportunity for the user to comply voluntarily or to make representations before enforcement action is taken. </w:t>
      </w:r>
    </w:p>
    <w:p w14:paraId="30B7332F"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Letters 4 &amp; 5 — S53(1) Directive to Stop</w:t>
      </w:r>
    </w:p>
    <w:p w14:paraId="7F335E6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final enforcement instrument — a formal directive under Section 53(1) ordering the water user to cease all unlawful water use. Upon issuance and acknowledgement (or expiry of the response period), the case transitions to </w:t>
      </w:r>
      <w:r>
        <w:rPr>
          <w:rStyle w:val="Strong"/>
          <w:rFonts w:ascii="Segoe UI" w:hAnsi="Segoe UI" w:cs="Segoe UI"/>
          <w:color w:val="1A1F2B"/>
          <w:sz w:val="22"/>
          <w:szCs w:val="22"/>
          <w:lang w:val="en"/>
        </w:rPr>
        <w:t>Enforcement Complete</w:t>
      </w:r>
      <w:r>
        <w:rPr>
          <w:rFonts w:ascii="Segoe UI" w:hAnsi="Segoe UI" w:cs="Segoe UI"/>
          <w:color w:val="1A1F2B"/>
          <w:sz w:val="22"/>
          <w:szCs w:val="22"/>
          <w:lang w:val="en"/>
        </w:rPr>
        <w:t xml:space="preserve">. </w:t>
      </w:r>
    </w:p>
    <w:p w14:paraId="70BA58F5"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4.8 eWULAAS Integration</w:t>
      </w:r>
    </w:p>
    <w:p w14:paraId="37F39548"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Upon final determination — whether through ELU confirmation (Letter 3) or enforcement completion (Letters 4&amp;5) — the system pushes the determination data back to </w:t>
      </w:r>
      <w:r>
        <w:rPr>
          <w:rStyle w:val="Strong"/>
          <w:rFonts w:ascii="Segoe UI" w:hAnsi="Segoe UI" w:cs="Segoe UI"/>
          <w:color w:val="1A1F2B"/>
          <w:sz w:val="22"/>
          <w:szCs w:val="22"/>
          <w:lang w:val="en"/>
        </w:rPr>
        <w:t>eWULAAS</w:t>
      </w:r>
      <w:r>
        <w:rPr>
          <w:rFonts w:ascii="Segoe UI" w:hAnsi="Segoe UI" w:cs="Segoe UI"/>
          <w:color w:val="1A1F2B"/>
          <w:sz w:val="22"/>
          <w:szCs w:val="22"/>
          <w:lang w:val="en"/>
        </w:rPr>
        <w:t xml:space="preserve"> via the </w:t>
      </w:r>
      <w:r>
        <w:rPr>
          <w:rStyle w:val="HTMLCode"/>
          <w:color w:val="1A1F2B"/>
          <w:lang w:val="en"/>
        </w:rPr>
        <w:t>IntegrationService.UpdateWarmsData()</w:t>
      </w:r>
      <w:r>
        <w:rPr>
          <w:rFonts w:ascii="Segoe UI" w:hAnsi="Segoe UI" w:cs="Segoe UI"/>
          <w:color w:val="1A1F2B"/>
          <w:sz w:val="22"/>
          <w:szCs w:val="22"/>
          <w:lang w:val="en"/>
        </w:rPr>
        <w:t xml:space="preserve"> method. This ensures that the national water use registration system reflects the verified and validated water use information. </w:t>
      </w:r>
    </w:p>
    <w:p w14:paraId="16B2C2C0" w14:textId="77777777" w:rsidR="00000000" w:rsidRDefault="00000000">
      <w:pPr>
        <w:shd w:val="clear" w:color="auto" w:fill="F0F6FC"/>
        <w:divId w:val="1752703321"/>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lastRenderedPageBreak/>
        <w:t>WARMS Integration Removed</w:t>
      </w:r>
    </w:p>
    <w:p w14:paraId="62E60030" w14:textId="77777777" w:rsidR="00000000" w:rsidRDefault="00000000">
      <w:pPr>
        <w:shd w:val="clear" w:color="auto" w:fill="F0F6FC"/>
        <w:divId w:val="1894778909"/>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Direct integration with the legacy WARMS system has been removed from the architecture. All water use registration data now flows exclusively through </w:t>
      </w:r>
      <w:r>
        <w:rPr>
          <w:rStyle w:val="Strong"/>
          <w:rFonts w:ascii="Segoe UI" w:eastAsia="Times New Roman" w:hAnsi="Segoe UI" w:cs="Segoe UI"/>
          <w:color w:val="1A1F2B"/>
          <w:sz w:val="20"/>
          <w:szCs w:val="20"/>
          <w:lang w:val="en"/>
        </w:rPr>
        <w:t>eWULAAS</w:t>
      </w:r>
      <w:r>
        <w:rPr>
          <w:rFonts w:ascii="Segoe UI" w:eastAsia="Times New Roman" w:hAnsi="Segoe UI" w:cs="Segoe UI"/>
          <w:color w:val="1A1F2B"/>
          <w:sz w:val="20"/>
          <w:szCs w:val="20"/>
          <w:lang w:val="en"/>
        </w:rPr>
        <w:t xml:space="preserve">, which serves as the single authoritative source for registration information. The V&amp;V system reads from eWULAAS at case inception and writes back to eWULAAS at case closure. </w:t>
      </w:r>
    </w:p>
    <w:p w14:paraId="2CA2135F"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lastRenderedPageBreak/>
        <w:t>5. End-to-End Data Flow</w:t>
      </w:r>
    </w:p>
    <w:p w14:paraId="60CDE67F" w14:textId="77777777" w:rsidR="00000000" w:rsidRDefault="00000000">
      <w:pPr>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lastRenderedPageBreak/>
        <w:fldChar w:fldCharType="begin"/>
      </w:r>
      <w:r>
        <w:rPr>
          <w:rFonts w:ascii="Segoe UI" w:eastAsia="Times New Roman" w:hAnsi="Segoe UI" w:cs="Segoe UI"/>
          <w:color w:val="1A1F2B"/>
          <w:sz w:val="22"/>
          <w:szCs w:val="22"/>
          <w:lang w:val="en"/>
        </w:rPr>
        <w:instrText xml:space="preserve"> INCLUDEPICTURE  \d "/Users/edwinmatlapeng/dotnet/dwa_val-ver/dwa_ver_val ai/docs/wireframes/workflow-screenshots/image3.png" \x \y \* MERGEFORMATINET </w:instrText>
      </w:r>
      <w:r>
        <w:rPr>
          <w:rFonts w:ascii="Segoe UI" w:eastAsia="Times New Roman" w:hAnsi="Segoe UI" w:cs="Segoe UI"/>
          <w:color w:val="1A1F2B"/>
          <w:sz w:val="22"/>
          <w:szCs w:val="22"/>
          <w:lang w:val="en"/>
        </w:rPr>
        <w:fldChar w:fldCharType="separate"/>
      </w:r>
      <w:r>
        <w:rPr>
          <w:rFonts w:ascii="Segoe UI" w:eastAsia="Times New Roman" w:hAnsi="Segoe UI" w:cs="Segoe UI"/>
          <w:noProof/>
          <w:color w:val="1A1F2B"/>
          <w:sz w:val="22"/>
          <w:szCs w:val="22"/>
          <w:lang w:val="en"/>
        </w:rPr>
        <w:drawing>
          <wp:inline distT="0" distB="0" distL="0" distR="0" wp14:anchorId="6258BD45" wp14:editId="0161F329">
            <wp:extent cx="21640800" cy="25996900"/>
            <wp:effectExtent l="0" t="0" r="0" b="0"/>
            <wp:docPr id="3" name="Picture 3" descr="End-to-End Data Flow diagram showing the complete system architecture from external systems through processing layers to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d-to-End Data Flow diagram showing the complete system architecture from external systems through processing layers to output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21640800" cy="25996900"/>
                    </a:xfrm>
                    <a:prstGeom prst="rect">
                      <a:avLst/>
                    </a:prstGeom>
                    <a:noFill/>
                    <a:ln>
                      <a:noFill/>
                    </a:ln>
                  </pic:spPr>
                </pic:pic>
              </a:graphicData>
            </a:graphic>
          </wp:inline>
        </w:drawing>
      </w:r>
      <w:r>
        <w:rPr>
          <w:rFonts w:ascii="Segoe UI" w:eastAsia="Times New Roman" w:hAnsi="Segoe UI" w:cs="Segoe UI"/>
          <w:color w:val="1A1F2B"/>
          <w:sz w:val="22"/>
          <w:szCs w:val="22"/>
          <w:lang w:val="en"/>
        </w:rPr>
        <w:fldChar w:fldCharType="end"/>
      </w:r>
      <w:r>
        <w:rPr>
          <w:rFonts w:ascii="Segoe UI" w:eastAsia="Times New Roman" w:hAnsi="Segoe UI" w:cs="Segoe UI"/>
          <w:color w:val="1A1F2B"/>
          <w:sz w:val="22"/>
          <w:szCs w:val="22"/>
          <w:lang w:val="en"/>
        </w:rPr>
        <w:lastRenderedPageBreak/>
        <w:t xml:space="preserve">Figure 3 — End-to-End Data Flow: the complete system architecture from external data sources through the integration, application, and data layers to internal and public-facing outputs. </w:t>
      </w:r>
    </w:p>
    <w:p w14:paraId="56107ECF"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5.1 System Architecture Overview</w:t>
      </w:r>
    </w:p>
    <w:p w14:paraId="51DDC1E3"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DWA V&amp;V System is structured as a </w:t>
      </w:r>
      <w:r>
        <w:rPr>
          <w:rStyle w:val="Strong"/>
          <w:rFonts w:ascii="Segoe UI" w:hAnsi="Segoe UI" w:cs="Segoe UI"/>
          <w:color w:val="1A1F2B"/>
          <w:sz w:val="22"/>
          <w:szCs w:val="22"/>
          <w:lang w:val="en"/>
        </w:rPr>
        <w:t>four-tier architecture</w:t>
      </w:r>
      <w:r>
        <w:rPr>
          <w:rFonts w:ascii="Segoe UI" w:hAnsi="Segoe UI" w:cs="Segoe UI"/>
          <w:color w:val="1A1F2B"/>
          <w:sz w:val="22"/>
          <w:szCs w:val="22"/>
          <w:lang w:val="en"/>
        </w:rPr>
        <w:t xml:space="preserve">, as illustrated in Figure 3: </w:t>
      </w:r>
    </w:p>
    <w:p w14:paraId="4363F084" w14:textId="77777777" w:rsidR="00000000" w:rsidRDefault="00000000">
      <w:pPr>
        <w:numPr>
          <w:ilvl w:val="0"/>
          <w:numId w:val="12"/>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External Systems</w:t>
      </w:r>
      <w:r>
        <w:rPr>
          <w:rFonts w:ascii="Segoe UI" w:eastAsia="Times New Roman" w:hAnsi="Segoe UI" w:cs="Segoe UI"/>
          <w:color w:val="1A1F2B"/>
          <w:sz w:val="22"/>
          <w:szCs w:val="22"/>
          <w:lang w:val="en"/>
        </w:rPr>
        <w:t xml:space="preserve"> — Upstream data sources that feed into the V&amp;V process</w:t>
      </w:r>
    </w:p>
    <w:p w14:paraId="6C0EC3A1" w14:textId="77777777" w:rsidR="00000000" w:rsidRDefault="00000000">
      <w:pPr>
        <w:numPr>
          <w:ilvl w:val="0"/>
          <w:numId w:val="12"/>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Application Layer</w:t>
      </w:r>
      <w:r>
        <w:rPr>
          <w:rFonts w:ascii="Segoe UI" w:eastAsia="Times New Roman" w:hAnsi="Segoe UI" w:cs="Segoe UI"/>
          <w:color w:val="1A1F2B"/>
          <w:sz w:val="22"/>
          <w:szCs w:val="22"/>
          <w:lang w:val="en"/>
        </w:rPr>
        <w:t xml:space="preserve"> — The V&amp;V phases, processing engines, and service layer</w:t>
      </w:r>
    </w:p>
    <w:p w14:paraId="0D73E2DD" w14:textId="77777777" w:rsidR="00000000" w:rsidRDefault="00000000">
      <w:pPr>
        <w:numPr>
          <w:ilvl w:val="0"/>
          <w:numId w:val="12"/>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Data Layer</w:t>
      </w:r>
      <w:r>
        <w:rPr>
          <w:rFonts w:ascii="Segoe UI" w:eastAsia="Times New Roman" w:hAnsi="Segoe UI" w:cs="Segoe UI"/>
          <w:color w:val="1A1F2B"/>
          <w:sz w:val="22"/>
          <w:szCs w:val="22"/>
          <w:lang w:val="en"/>
        </w:rPr>
        <w:t xml:space="preserve"> — The repository layer and SQL Server database</w:t>
      </w:r>
    </w:p>
    <w:p w14:paraId="31D2F700" w14:textId="77777777" w:rsidR="00000000" w:rsidRDefault="00000000">
      <w:pPr>
        <w:numPr>
          <w:ilvl w:val="0"/>
          <w:numId w:val="12"/>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Outputs</w:t>
      </w:r>
      <w:r>
        <w:rPr>
          <w:rFonts w:ascii="Segoe UI" w:eastAsia="Times New Roman" w:hAnsi="Segoe UI" w:cs="Segoe UI"/>
          <w:color w:val="1A1F2B"/>
          <w:sz w:val="22"/>
          <w:szCs w:val="22"/>
          <w:lang w:val="en"/>
        </w:rPr>
        <w:t xml:space="preserve"> — The internal DWS application and the public-facing external portal</w:t>
      </w:r>
    </w:p>
    <w:p w14:paraId="055A961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Data flows from left to right through the system: external source data is ingested via the Integration Service, processed through the three V&amp;V phases using specialised engines, persisted via the repository layer to SQL Server, and presented through both the internal ASP.NET Core MVC application and the separate external portal. </w:t>
      </w:r>
    </w:p>
    <w:p w14:paraId="7F3DAB93"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5.2 External System Integration</w:t>
      </w:r>
    </w:p>
    <w:p w14:paraId="7BEC2CD2"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V&amp;V System integrates with four external data sources, all managed through the </w:t>
      </w:r>
      <w:r>
        <w:rPr>
          <w:rStyle w:val="HTMLCode"/>
          <w:color w:val="1A1F2B"/>
          <w:lang w:val="en"/>
        </w:rPr>
        <w:t>IntegrationService</w:t>
      </w:r>
      <w:r>
        <w:rPr>
          <w:rFonts w:ascii="Segoe UI" w:hAnsi="Segoe UI" w:cs="Segoe UI"/>
          <w:color w:val="1A1F2B"/>
          <w:sz w:val="22"/>
          <w:szCs w:val="22"/>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588"/>
        <w:gridCol w:w="5374"/>
        <w:gridCol w:w="2398"/>
      </w:tblGrid>
      <w:tr w:rsidR="00000000" w14:paraId="0CF46DC3" w14:textId="77777777">
        <w:tc>
          <w:tcPr>
            <w:tcW w:w="0" w:type="auto"/>
            <w:shd w:val="clear" w:color="auto" w:fill="002855"/>
            <w:vAlign w:val="center"/>
            <w:hideMark/>
          </w:tcPr>
          <w:p w14:paraId="2E806F3F"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External System</w:t>
            </w:r>
          </w:p>
        </w:tc>
        <w:tc>
          <w:tcPr>
            <w:tcW w:w="0" w:type="auto"/>
            <w:shd w:val="clear" w:color="auto" w:fill="002855"/>
            <w:vAlign w:val="center"/>
            <w:hideMark/>
          </w:tcPr>
          <w:p w14:paraId="1038A094"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Data Provided</w:t>
            </w:r>
          </w:p>
        </w:tc>
        <w:tc>
          <w:tcPr>
            <w:tcW w:w="0" w:type="auto"/>
            <w:shd w:val="clear" w:color="auto" w:fill="002855"/>
            <w:vAlign w:val="center"/>
            <w:hideMark/>
          </w:tcPr>
          <w:p w14:paraId="6774F553"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Integration Method</w:t>
            </w:r>
          </w:p>
        </w:tc>
      </w:tr>
      <w:tr w:rsidR="00000000" w14:paraId="30381548" w14:textId="77777777">
        <w:tc>
          <w:tcPr>
            <w:tcW w:w="0" w:type="auto"/>
            <w:tcBorders>
              <w:bottom w:val="single" w:sz="6" w:space="0" w:color="E2E6EA"/>
            </w:tcBorders>
            <w:vAlign w:val="center"/>
            <w:hideMark/>
          </w:tcPr>
          <w:p w14:paraId="182387F1"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eWULAAS</w:t>
            </w:r>
          </w:p>
        </w:tc>
        <w:tc>
          <w:tcPr>
            <w:tcW w:w="0" w:type="auto"/>
            <w:tcBorders>
              <w:bottom w:val="single" w:sz="6" w:space="0" w:color="E2E6EA"/>
            </w:tcBorders>
            <w:vAlign w:val="center"/>
            <w:hideMark/>
          </w:tcPr>
          <w:p w14:paraId="2622E193"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Water use registration data (WARMS records), registration status, licence information</w:t>
            </w:r>
          </w:p>
        </w:tc>
        <w:tc>
          <w:tcPr>
            <w:tcW w:w="0" w:type="auto"/>
            <w:tcBorders>
              <w:bottom w:val="single" w:sz="6" w:space="0" w:color="E2E6EA"/>
            </w:tcBorders>
            <w:vAlign w:val="center"/>
            <w:hideMark/>
          </w:tcPr>
          <w:p w14:paraId="233480A6"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Primary integration — API-based read/write</w:t>
            </w:r>
          </w:p>
        </w:tc>
      </w:tr>
      <w:tr w:rsidR="00000000" w14:paraId="2FA5A03B" w14:textId="77777777">
        <w:tc>
          <w:tcPr>
            <w:tcW w:w="0" w:type="auto"/>
            <w:tcBorders>
              <w:bottom w:val="single" w:sz="6" w:space="0" w:color="E2E6EA"/>
            </w:tcBorders>
            <w:vAlign w:val="center"/>
            <w:hideMark/>
          </w:tcPr>
          <w:p w14:paraId="72952EBD"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Surveyor General / DRDLR</w:t>
            </w:r>
          </w:p>
        </w:tc>
        <w:tc>
          <w:tcPr>
            <w:tcW w:w="0" w:type="auto"/>
            <w:tcBorders>
              <w:bottom w:val="single" w:sz="6" w:space="0" w:color="E2E6EA"/>
            </w:tcBorders>
            <w:vAlign w:val="center"/>
            <w:hideMark/>
          </w:tcPr>
          <w:p w14:paraId="602F02B7"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SG farm boundaries, cadastral data, SG diagrams, property extent information</w:t>
            </w:r>
          </w:p>
        </w:tc>
        <w:tc>
          <w:tcPr>
            <w:tcW w:w="0" w:type="auto"/>
            <w:tcBorders>
              <w:bottom w:val="single" w:sz="6" w:space="0" w:color="E2E6EA"/>
            </w:tcBorders>
            <w:vAlign w:val="center"/>
            <w:hideMark/>
          </w:tcPr>
          <w:p w14:paraId="068822A4"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Spatial data import</w:t>
            </w:r>
          </w:p>
        </w:tc>
      </w:tr>
      <w:tr w:rsidR="00000000" w14:paraId="5A3039DB" w14:textId="77777777">
        <w:tc>
          <w:tcPr>
            <w:tcW w:w="0" w:type="auto"/>
            <w:tcBorders>
              <w:bottom w:val="single" w:sz="6" w:space="0" w:color="E2E6EA"/>
            </w:tcBorders>
            <w:vAlign w:val="center"/>
            <w:hideMark/>
          </w:tcPr>
          <w:p w14:paraId="0000C92F"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Deeds Office / DRDLR</w:t>
            </w:r>
          </w:p>
        </w:tc>
        <w:tc>
          <w:tcPr>
            <w:tcW w:w="0" w:type="auto"/>
            <w:tcBorders>
              <w:bottom w:val="single" w:sz="6" w:space="0" w:color="E2E6EA"/>
            </w:tcBorders>
            <w:vAlign w:val="center"/>
            <w:hideMark/>
          </w:tcPr>
          <w:p w14:paraId="3932CA12"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Title deed records, property ownership history, transfer records</w:t>
            </w:r>
          </w:p>
        </w:tc>
        <w:tc>
          <w:tcPr>
            <w:tcW w:w="0" w:type="auto"/>
            <w:tcBorders>
              <w:bottom w:val="single" w:sz="6" w:space="0" w:color="E2E6EA"/>
            </w:tcBorders>
            <w:vAlign w:val="center"/>
            <w:hideMark/>
          </w:tcPr>
          <w:p w14:paraId="6C7EDEA4"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Document retrieval</w:t>
            </w:r>
          </w:p>
        </w:tc>
      </w:tr>
      <w:tr w:rsidR="00000000" w14:paraId="0C93CA5A" w14:textId="77777777">
        <w:tc>
          <w:tcPr>
            <w:tcW w:w="0" w:type="auto"/>
            <w:tcBorders>
              <w:bottom w:val="single" w:sz="6" w:space="0" w:color="E2E6EA"/>
            </w:tcBorders>
            <w:vAlign w:val="center"/>
            <w:hideMark/>
          </w:tcPr>
          <w:p w14:paraId="07285F34"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Satellite / NoSQL Store</w:t>
            </w:r>
          </w:p>
        </w:tc>
        <w:tc>
          <w:tcPr>
            <w:tcW w:w="0" w:type="auto"/>
            <w:tcBorders>
              <w:bottom w:val="single" w:sz="6" w:space="0" w:color="E2E6EA"/>
            </w:tcBorders>
            <w:vAlign w:val="center"/>
            <w:hideMark/>
          </w:tcPr>
          <w:p w14:paraId="32D8FCCC"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Satellite imagery for qualifying period (1996–1999) and current period, stored in a NoSQL document store for high-volume binary data</w:t>
            </w:r>
          </w:p>
        </w:tc>
        <w:tc>
          <w:tcPr>
            <w:tcW w:w="0" w:type="auto"/>
            <w:tcBorders>
              <w:bottom w:val="single" w:sz="6" w:space="0" w:color="E2E6EA"/>
            </w:tcBorders>
            <w:vAlign w:val="center"/>
            <w:hideMark/>
          </w:tcPr>
          <w:p w14:paraId="4966ECB5"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Blob/document storage integration</w:t>
            </w:r>
          </w:p>
        </w:tc>
      </w:tr>
    </w:tbl>
    <w:p w14:paraId="1CC69612" w14:textId="77777777" w:rsidR="00000000" w:rsidRDefault="00000000">
      <w:pPr>
        <w:shd w:val="clear" w:color="auto" w:fill="F0F6FC"/>
        <w:divId w:val="1596598645"/>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eWULAAS as Primary Integration Point</w:t>
      </w:r>
    </w:p>
    <w:p w14:paraId="0977ECEF" w14:textId="77777777" w:rsidR="00000000" w:rsidRDefault="00000000">
      <w:pPr>
        <w:shd w:val="clear" w:color="auto" w:fill="F0F6FC"/>
        <w:divId w:val="337118010"/>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eWULAAS (the electronic Water Use Licence Application and Authorisation System) is the primary external system. It replaces direct WARMS integration and serves as the single source of truth for water use registration data. Both initial data retrieval (at case inception) and final determination updates (at case closure) flow through eWULAAS. </w:t>
      </w:r>
    </w:p>
    <w:p w14:paraId="58C94FBC"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5.3 The Three V&amp;V Phases</w:t>
      </w:r>
    </w:p>
    <w:p w14:paraId="3E04C101"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application layer processes data through three sequential phases, each corresponding to a section of the DWS requirements document: </w:t>
      </w:r>
    </w:p>
    <w:p w14:paraId="576D17CE"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lastRenderedPageBreak/>
        <w:t>Phase 1: Inception</w:t>
      </w:r>
    </w:p>
    <w:p w14:paraId="0F372EE1"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foundational phase that establishes the case and gathers all prerequisite data: </w:t>
      </w:r>
    </w:p>
    <w:p w14:paraId="530E1693" w14:textId="77777777" w:rsidR="00000000" w:rsidRDefault="00000000">
      <w:pPr>
        <w:numPr>
          <w:ilvl w:val="0"/>
          <w:numId w:val="1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WARMS Audit</w:t>
      </w:r>
      <w:r>
        <w:rPr>
          <w:rFonts w:ascii="Segoe UI" w:eastAsia="Times New Roman" w:hAnsi="Segoe UI" w:cs="Segoe UI"/>
          <w:color w:val="1A1F2B"/>
          <w:sz w:val="22"/>
          <w:szCs w:val="22"/>
          <w:lang w:val="en"/>
        </w:rPr>
        <w:t xml:space="preserve"> — Obtain the latest registration data from eWULAAS and audit for new records, ownership changes, and data discrepancies</w:t>
      </w:r>
    </w:p>
    <w:p w14:paraId="5E84DF04" w14:textId="77777777" w:rsidR="00000000" w:rsidRDefault="00000000">
      <w:pPr>
        <w:numPr>
          <w:ilvl w:val="0"/>
          <w:numId w:val="1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GIS Identification</w:t>
      </w:r>
      <w:r>
        <w:rPr>
          <w:rFonts w:ascii="Segoe UI" w:eastAsia="Times New Roman" w:hAnsi="Segoe UI" w:cs="Segoe UI"/>
          <w:color w:val="1A1F2B"/>
          <w:sz w:val="22"/>
          <w:szCs w:val="22"/>
          <w:lang w:val="en"/>
        </w:rPr>
        <w:t xml:space="preserve"> — Identify unregistered water users through GIS analysis of current satellite imagery</w:t>
      </w:r>
    </w:p>
    <w:p w14:paraId="2A6C7F96" w14:textId="77777777" w:rsidR="00000000" w:rsidRDefault="00000000">
      <w:pPr>
        <w:numPr>
          <w:ilvl w:val="0"/>
          <w:numId w:val="1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Database Analysis</w:t>
      </w:r>
      <w:r>
        <w:rPr>
          <w:rFonts w:ascii="Segoe UI" w:eastAsia="Times New Roman" w:hAnsi="Segoe UI" w:cs="Segoe UI"/>
          <w:color w:val="1A1F2B"/>
          <w:sz w:val="22"/>
          <w:szCs w:val="22"/>
          <w:lang w:val="en"/>
        </w:rPr>
        <w:t xml:space="preserve"> — Assign record status to all properties using the validation status categories (Not Commenced, In Process, Completed, etc.)</w:t>
      </w:r>
    </w:p>
    <w:p w14:paraId="1F675CE2" w14:textId="77777777" w:rsidR="00000000" w:rsidRDefault="00000000">
      <w:pPr>
        <w:numPr>
          <w:ilvl w:val="0"/>
          <w:numId w:val="1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Inception Report</w:t>
      </w:r>
      <w:r>
        <w:rPr>
          <w:rFonts w:ascii="Segoe UI" w:eastAsia="Times New Roman" w:hAnsi="Segoe UI" w:cs="Segoe UI"/>
          <w:color w:val="1A1F2B"/>
          <w:sz w:val="22"/>
          <w:szCs w:val="22"/>
          <w:lang w:val="en"/>
        </w:rPr>
        <w:t xml:space="preserve"> — Draft and approve the project inception report documenting scope, methodology, and findings</w:t>
      </w:r>
    </w:p>
    <w:p w14:paraId="5B631734" w14:textId="77777777" w:rsidR="00000000" w:rsidRDefault="00000000">
      <w:pPr>
        <w:numPr>
          <w:ilvl w:val="0"/>
          <w:numId w:val="13"/>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Public Participation</w:t>
      </w:r>
      <w:r>
        <w:rPr>
          <w:rFonts w:ascii="Segoe UI" w:eastAsia="Times New Roman" w:hAnsi="Segoe UI" w:cs="Segoe UI"/>
          <w:color w:val="1A1F2B"/>
          <w:sz w:val="22"/>
          <w:szCs w:val="22"/>
          <w:lang w:val="en"/>
        </w:rPr>
        <w:t xml:space="preserve"> — Conduct WMA-level public participation sessions (Session 1) to launch the V&amp;V process in the area</w:t>
      </w:r>
    </w:p>
    <w:p w14:paraId="037DFC36"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Phase 2: Verification</w:t>
      </w:r>
    </w:p>
    <w:p w14:paraId="134160B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technical analysis phase where water use is quantified and classified: </w:t>
      </w:r>
    </w:p>
    <w:p w14:paraId="4E26F4D6"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Evaluate WARMS Data</w:t>
      </w:r>
      <w:r>
        <w:rPr>
          <w:rFonts w:ascii="Segoe UI" w:eastAsia="Times New Roman" w:hAnsi="Segoe UI" w:cs="Segoe UI"/>
          <w:color w:val="1A1F2B"/>
          <w:sz w:val="22"/>
          <w:szCs w:val="22"/>
          <w:lang w:val="en"/>
        </w:rPr>
        <w:t xml:space="preserve"> — Review registered volumes, crops, hectares, and irrigation methods against field evidence</w:t>
      </w:r>
    </w:p>
    <w:p w14:paraId="478B98B9"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Spatial Information</w:t>
      </w:r>
      <w:r>
        <w:rPr>
          <w:rFonts w:ascii="Segoe UI" w:eastAsia="Times New Roman" w:hAnsi="Segoe UI" w:cs="Segoe UI"/>
          <w:color w:val="1A1F2B"/>
          <w:sz w:val="22"/>
          <w:szCs w:val="22"/>
          <w:lang w:val="en"/>
        </w:rPr>
        <w:t xml:space="preserve"> — Obtain and verify SG farm boundaries, catchment boundaries, and river data</w:t>
      </w:r>
    </w:p>
    <w:p w14:paraId="516EC906"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Additional Information</w:t>
      </w:r>
      <w:r>
        <w:rPr>
          <w:rFonts w:ascii="Segoe UI" w:eastAsia="Times New Roman" w:hAnsi="Segoe UI" w:cs="Segoe UI"/>
          <w:color w:val="1A1F2B"/>
          <w:sz w:val="22"/>
          <w:szCs w:val="22"/>
          <w:lang w:val="en"/>
        </w:rPr>
        <w:t xml:space="preserve"> — Gather permits, Section 32/33 approvals, transfers, General Authorisations, and other legislative instruments</w:t>
      </w:r>
    </w:p>
    <w:p w14:paraId="2222C086"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GIS Analysis &amp; Field Digitising</w:t>
      </w:r>
      <w:r>
        <w:rPr>
          <w:rFonts w:ascii="Segoe UI" w:eastAsia="Times New Roman" w:hAnsi="Segoe UI" w:cs="Segoe UI"/>
          <w:color w:val="1A1F2B"/>
          <w:sz w:val="22"/>
          <w:szCs w:val="22"/>
          <w:lang w:val="en"/>
        </w:rPr>
        <w:t xml:space="preserve"> — Digitise crop fields and dams for both qualifying and current periods</w:t>
      </w:r>
    </w:p>
    <w:p w14:paraId="2A40AA40"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SAPWAT Modelling</w:t>
      </w:r>
      <w:r>
        <w:rPr>
          <w:rFonts w:ascii="Segoe UI" w:eastAsia="Times New Roman" w:hAnsi="Segoe UI" w:cs="Segoe UI"/>
          <w:color w:val="1A1F2B"/>
          <w:sz w:val="22"/>
          <w:szCs w:val="22"/>
          <w:lang w:val="en"/>
        </w:rPr>
        <w:t xml:space="preserve"> — Calculate crop water requirements per field using the SAPWAT model</w:t>
      </w:r>
    </w:p>
    <w:p w14:paraId="0DD01D5D"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ELU Calculation</w:t>
      </w:r>
      <w:r>
        <w:rPr>
          <w:rFonts w:ascii="Segoe UI" w:eastAsia="Times New Roman" w:hAnsi="Segoe UI" w:cs="Segoe UI"/>
          <w:color w:val="1A1F2B"/>
          <w:sz w:val="22"/>
          <w:szCs w:val="22"/>
          <w:lang w:val="en"/>
        </w:rPr>
        <w:t xml:space="preserve"> — Determine lawful, unlawful, and possible unlawful increase/decrease volumes</w:t>
      </w:r>
    </w:p>
    <w:p w14:paraId="04033089"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Dam Volume Calculation</w:t>
      </w:r>
      <w:r>
        <w:rPr>
          <w:rFonts w:ascii="Segoe UI" w:eastAsia="Times New Roman" w:hAnsi="Segoe UI" w:cs="Segoe UI"/>
          <w:color w:val="1A1F2B"/>
          <w:sz w:val="22"/>
          <w:szCs w:val="22"/>
          <w:lang w:val="en"/>
        </w:rPr>
        <w:t xml:space="preserve"> — Calculate storage capacity using wall-length or area methods</w:t>
      </w:r>
    </w:p>
    <w:p w14:paraId="0969B0A5" w14:textId="77777777" w:rsidR="00000000" w:rsidRDefault="00000000">
      <w:pPr>
        <w:numPr>
          <w:ilvl w:val="0"/>
          <w:numId w:val="14"/>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SFRA Calculation</w:t>
      </w:r>
      <w:r>
        <w:rPr>
          <w:rFonts w:ascii="Segoe UI" w:eastAsia="Times New Roman" w:hAnsi="Segoe UI" w:cs="Segoe UI"/>
          <w:color w:val="1A1F2B"/>
          <w:sz w:val="22"/>
          <w:szCs w:val="22"/>
          <w:lang w:val="en"/>
        </w:rPr>
        <w:t xml:space="preserve"> — Determine stream flow reduction for afforested areas</w:t>
      </w:r>
    </w:p>
    <w:p w14:paraId="36AA583F"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Phase 3: Validation</w:t>
      </w:r>
    </w:p>
    <w:p w14:paraId="40084C77"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statutory correspondence and closure phase: </w:t>
      </w:r>
    </w:p>
    <w:p w14:paraId="196A5A6F" w14:textId="77777777" w:rsidR="00000000" w:rsidRDefault="00000000">
      <w:pPr>
        <w:numPr>
          <w:ilvl w:val="0"/>
          <w:numId w:val="15"/>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Section 35 Letters</w:t>
      </w:r>
      <w:r>
        <w:rPr>
          <w:rFonts w:ascii="Segoe UI" w:eastAsia="Times New Roman" w:hAnsi="Segoe UI" w:cs="Segoe UI"/>
          <w:color w:val="1A1F2B"/>
          <w:sz w:val="22"/>
          <w:szCs w:val="22"/>
          <w:lang w:val="en"/>
        </w:rPr>
        <w:t xml:space="preserve"> — Generate, sign, issue, and track all statutory correspondence (Letters 1 through 5)</w:t>
      </w:r>
    </w:p>
    <w:p w14:paraId="201C08B4" w14:textId="77777777" w:rsidR="00000000" w:rsidRDefault="00000000">
      <w:pPr>
        <w:numPr>
          <w:ilvl w:val="0"/>
          <w:numId w:val="15"/>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Response Tracking</w:t>
      </w:r>
      <w:r>
        <w:rPr>
          <w:rFonts w:ascii="Segoe UI" w:eastAsia="Times New Roman" w:hAnsi="Segoe UI" w:cs="Segoe UI"/>
          <w:color w:val="1A1F2B"/>
          <w:sz w:val="22"/>
          <w:szCs w:val="22"/>
          <w:lang w:val="en"/>
        </w:rPr>
        <w:t xml:space="preserve"> — Monitor statutory deadlines and process water user responses</w:t>
      </w:r>
    </w:p>
    <w:p w14:paraId="6E869397" w14:textId="77777777" w:rsidR="00000000" w:rsidRDefault="00000000">
      <w:pPr>
        <w:numPr>
          <w:ilvl w:val="0"/>
          <w:numId w:val="15"/>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Case Closure</w:t>
      </w:r>
      <w:r>
        <w:rPr>
          <w:rFonts w:ascii="Segoe UI" w:eastAsia="Times New Roman" w:hAnsi="Segoe UI" w:cs="Segoe UI"/>
          <w:color w:val="1A1F2B"/>
          <w:sz w:val="22"/>
          <w:szCs w:val="22"/>
          <w:lang w:val="en"/>
        </w:rPr>
        <w:t xml:space="preserve"> — Issue the ELU certificate or enforcement directive, update eWULAAS, and archive the case</w:t>
      </w:r>
    </w:p>
    <w:p w14:paraId="3BD8FC85"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lastRenderedPageBreak/>
        <w:t>5.4 The Engine Layer</w:t>
      </w:r>
    </w:p>
    <w:p w14:paraId="0E5C4D1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engine layer comprises six specialised components that provide the core processing capabilities of the system. These engines are coordinated through a mediator pattern, with domain events providing loose coupling between components: </w:t>
      </w:r>
    </w:p>
    <w:tbl>
      <w:tblPr>
        <w:tblW w:w="5000" w:type="pct"/>
        <w:tblCellMar>
          <w:top w:w="15" w:type="dxa"/>
          <w:left w:w="15" w:type="dxa"/>
          <w:bottom w:w="15" w:type="dxa"/>
          <w:right w:w="15" w:type="dxa"/>
        </w:tblCellMar>
        <w:tblLook w:val="04A0" w:firstRow="1" w:lastRow="0" w:firstColumn="1" w:lastColumn="0" w:noHBand="0" w:noVBand="1"/>
      </w:tblPr>
      <w:tblGrid>
        <w:gridCol w:w="1349"/>
        <w:gridCol w:w="5101"/>
        <w:gridCol w:w="2910"/>
      </w:tblGrid>
      <w:tr w:rsidR="00000000" w14:paraId="698206AB" w14:textId="77777777">
        <w:tc>
          <w:tcPr>
            <w:tcW w:w="0" w:type="auto"/>
            <w:shd w:val="clear" w:color="auto" w:fill="002855"/>
            <w:vAlign w:val="center"/>
            <w:hideMark/>
          </w:tcPr>
          <w:p w14:paraId="0607205D"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Engine</w:t>
            </w:r>
          </w:p>
        </w:tc>
        <w:tc>
          <w:tcPr>
            <w:tcW w:w="0" w:type="auto"/>
            <w:shd w:val="clear" w:color="auto" w:fill="002855"/>
            <w:vAlign w:val="center"/>
            <w:hideMark/>
          </w:tcPr>
          <w:p w14:paraId="5A71468E"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Responsibility</w:t>
            </w:r>
          </w:p>
        </w:tc>
        <w:tc>
          <w:tcPr>
            <w:tcW w:w="0" w:type="auto"/>
            <w:shd w:val="clear" w:color="auto" w:fill="002855"/>
            <w:vAlign w:val="center"/>
            <w:hideMark/>
          </w:tcPr>
          <w:p w14:paraId="46ACAD52"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Key Technologies</w:t>
            </w:r>
          </w:p>
        </w:tc>
      </w:tr>
      <w:tr w:rsidR="00000000" w14:paraId="04E91097" w14:textId="77777777">
        <w:tc>
          <w:tcPr>
            <w:tcW w:w="0" w:type="auto"/>
            <w:tcBorders>
              <w:bottom w:val="single" w:sz="6" w:space="0" w:color="E2E6EA"/>
            </w:tcBorders>
            <w:vAlign w:val="center"/>
            <w:hideMark/>
          </w:tcPr>
          <w:p w14:paraId="3C46ACD5"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Calculator Engine</w:t>
            </w:r>
          </w:p>
        </w:tc>
        <w:tc>
          <w:tcPr>
            <w:tcW w:w="0" w:type="auto"/>
            <w:tcBorders>
              <w:bottom w:val="single" w:sz="6" w:space="0" w:color="E2E6EA"/>
            </w:tcBorders>
            <w:vAlign w:val="center"/>
            <w:hideMark/>
          </w:tcPr>
          <w:p w14:paraId="7E6131A1"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Executes SAPWAT crop water requirement modelling, dam volume calculations (Appendix D wall-length and area methods), and SFRA stream flow reduction calculations</w:t>
            </w:r>
          </w:p>
        </w:tc>
        <w:tc>
          <w:tcPr>
            <w:tcW w:w="0" w:type="auto"/>
            <w:tcBorders>
              <w:bottom w:val="single" w:sz="6" w:space="0" w:color="E2E6EA"/>
            </w:tcBorders>
            <w:vAlign w:val="center"/>
            <w:hideMark/>
          </w:tcPr>
          <w:p w14:paraId="71B9EDEA"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Domain-specific calculation logic; shape factors (0.33, 0.4, 0.5)</w:t>
            </w:r>
          </w:p>
        </w:tc>
      </w:tr>
      <w:tr w:rsidR="00000000" w14:paraId="0CD816CB" w14:textId="77777777">
        <w:tc>
          <w:tcPr>
            <w:tcW w:w="0" w:type="auto"/>
            <w:tcBorders>
              <w:bottom w:val="single" w:sz="6" w:space="0" w:color="E2E6EA"/>
            </w:tcBorders>
            <w:vAlign w:val="center"/>
            <w:hideMark/>
          </w:tcPr>
          <w:p w14:paraId="7C2E1797"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Letter Engine</w:t>
            </w:r>
          </w:p>
        </w:tc>
        <w:tc>
          <w:tcPr>
            <w:tcW w:w="0" w:type="auto"/>
            <w:tcBorders>
              <w:bottom w:val="single" w:sz="6" w:space="0" w:color="E2E6EA"/>
            </w:tcBorders>
            <w:vAlign w:val="center"/>
            <w:hideMark/>
          </w:tcPr>
          <w:p w14:paraId="0F4BF88A"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Generates Section 35 letter PDFs from templates, manages letter lifecycle states, and tracks delivery and response</w:t>
            </w:r>
          </w:p>
        </w:tc>
        <w:tc>
          <w:tcPr>
            <w:tcW w:w="0" w:type="auto"/>
            <w:tcBorders>
              <w:bottom w:val="single" w:sz="6" w:space="0" w:color="E2E6EA"/>
            </w:tcBorders>
            <w:vAlign w:val="center"/>
            <w:hideMark/>
          </w:tcPr>
          <w:p w14:paraId="708A8332"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QuestPDF for PDF generation; letter type templates</w:t>
            </w:r>
          </w:p>
        </w:tc>
      </w:tr>
      <w:tr w:rsidR="00000000" w14:paraId="36068E74" w14:textId="77777777">
        <w:tc>
          <w:tcPr>
            <w:tcW w:w="0" w:type="auto"/>
            <w:tcBorders>
              <w:bottom w:val="single" w:sz="6" w:space="0" w:color="E2E6EA"/>
            </w:tcBorders>
            <w:vAlign w:val="center"/>
            <w:hideMark/>
          </w:tcPr>
          <w:p w14:paraId="58EF265D"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Workflow Engine</w:t>
            </w:r>
          </w:p>
        </w:tc>
        <w:tc>
          <w:tcPr>
            <w:tcW w:w="0" w:type="auto"/>
            <w:tcBorders>
              <w:bottom w:val="single" w:sz="6" w:space="0" w:color="E2E6EA"/>
            </w:tcBorders>
            <w:vAlign w:val="center"/>
            <w:hideMark/>
          </w:tcPr>
          <w:p w14:paraId="699F9599"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Enforces the state machine, evaluates transition guards, manages control point progression, and raises domain events on transitions</w:t>
            </w:r>
          </w:p>
        </w:tc>
        <w:tc>
          <w:tcPr>
            <w:tcW w:w="0" w:type="auto"/>
            <w:tcBorders>
              <w:bottom w:val="single" w:sz="6" w:space="0" w:color="E2E6EA"/>
            </w:tcBorders>
            <w:vAlign w:val="center"/>
            <w:hideMark/>
          </w:tcPr>
          <w:p w14:paraId="2A3B0A4A"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 xml:space="preserve">State machine pattern; </w:t>
            </w:r>
            <w:r>
              <w:rPr>
                <w:rStyle w:val="HTMLCode"/>
                <w:color w:val="1A1F2B"/>
              </w:rPr>
              <w:t>ITransitionGuard</w:t>
            </w:r>
            <w:r>
              <w:rPr>
                <w:rFonts w:ascii="Segoe UI" w:eastAsia="Times New Roman" w:hAnsi="Segoe UI" w:cs="Segoe UI"/>
                <w:color w:val="1A1F2B"/>
                <w:sz w:val="20"/>
                <w:szCs w:val="20"/>
              </w:rPr>
              <w:t xml:space="preserve"> interface</w:t>
            </w:r>
          </w:p>
        </w:tc>
      </w:tr>
      <w:tr w:rsidR="00000000" w14:paraId="728A92B3" w14:textId="77777777">
        <w:tc>
          <w:tcPr>
            <w:tcW w:w="0" w:type="auto"/>
            <w:tcBorders>
              <w:bottom w:val="single" w:sz="6" w:space="0" w:color="E2E6EA"/>
            </w:tcBorders>
            <w:vAlign w:val="center"/>
            <w:hideMark/>
          </w:tcPr>
          <w:p w14:paraId="3493BC40"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Notification Engine</w:t>
            </w:r>
          </w:p>
        </w:tc>
        <w:tc>
          <w:tcPr>
            <w:tcW w:w="0" w:type="auto"/>
            <w:tcBorders>
              <w:bottom w:val="single" w:sz="6" w:space="0" w:color="E2E6EA"/>
            </w:tcBorders>
            <w:vAlign w:val="center"/>
            <w:hideMark/>
          </w:tcPr>
          <w:p w14:paraId="22A9C15D"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Delivers email, in-app, and SMS notifications triggered by domain events (state transitions, letter issuance, deadline reminders)</w:t>
            </w:r>
          </w:p>
        </w:tc>
        <w:tc>
          <w:tcPr>
            <w:tcW w:w="0" w:type="auto"/>
            <w:tcBorders>
              <w:bottom w:val="single" w:sz="6" w:space="0" w:color="E2E6EA"/>
            </w:tcBorders>
            <w:vAlign w:val="center"/>
            <w:hideMark/>
          </w:tcPr>
          <w:p w14:paraId="656BC5A7"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Email provider integration; in-app notification hub</w:t>
            </w:r>
          </w:p>
        </w:tc>
      </w:tr>
      <w:tr w:rsidR="00000000" w14:paraId="5EE1622F" w14:textId="77777777">
        <w:tc>
          <w:tcPr>
            <w:tcW w:w="0" w:type="auto"/>
            <w:tcBorders>
              <w:bottom w:val="single" w:sz="6" w:space="0" w:color="E2E6EA"/>
            </w:tcBorders>
            <w:vAlign w:val="center"/>
            <w:hideMark/>
          </w:tcPr>
          <w:p w14:paraId="492AC09B"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Signature Engine</w:t>
            </w:r>
          </w:p>
        </w:tc>
        <w:tc>
          <w:tcPr>
            <w:tcW w:w="0" w:type="auto"/>
            <w:tcBorders>
              <w:bottom w:val="single" w:sz="6" w:space="0" w:color="E2E6EA"/>
            </w:tcBorders>
            <w:vAlign w:val="center"/>
            <w:hideMark/>
          </w:tcPr>
          <w:p w14:paraId="082BE396"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Captures electronic signatures via SignaturePad.js, generates SHA-256 hashes, embeds signatures into PDFs, and verifies document integrity</w:t>
            </w:r>
          </w:p>
        </w:tc>
        <w:tc>
          <w:tcPr>
            <w:tcW w:w="0" w:type="auto"/>
            <w:tcBorders>
              <w:bottom w:val="single" w:sz="6" w:space="0" w:color="E2E6EA"/>
            </w:tcBorders>
            <w:vAlign w:val="center"/>
            <w:hideMark/>
          </w:tcPr>
          <w:p w14:paraId="16C6ACD7"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SignaturePad.js; X.509 server-side verification</w:t>
            </w:r>
          </w:p>
        </w:tc>
      </w:tr>
      <w:tr w:rsidR="00000000" w14:paraId="1EEA3FC7" w14:textId="77777777">
        <w:tc>
          <w:tcPr>
            <w:tcW w:w="0" w:type="auto"/>
            <w:tcBorders>
              <w:bottom w:val="single" w:sz="6" w:space="0" w:color="E2E6EA"/>
            </w:tcBorders>
            <w:vAlign w:val="center"/>
            <w:hideMark/>
          </w:tcPr>
          <w:p w14:paraId="07809A1E"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Audit Engine</w:t>
            </w:r>
          </w:p>
        </w:tc>
        <w:tc>
          <w:tcPr>
            <w:tcW w:w="0" w:type="auto"/>
            <w:tcBorders>
              <w:bottom w:val="single" w:sz="6" w:space="0" w:color="E2E6EA"/>
            </w:tcBorders>
            <w:vAlign w:val="center"/>
            <w:hideMark/>
          </w:tcPr>
          <w:p w14:paraId="6BA519BB"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Writes immutable audit log entries for every state transition, data modification, and significant user action</w:t>
            </w:r>
          </w:p>
        </w:tc>
        <w:tc>
          <w:tcPr>
            <w:tcW w:w="0" w:type="auto"/>
            <w:tcBorders>
              <w:bottom w:val="single" w:sz="6" w:space="0" w:color="E2E6EA"/>
            </w:tcBorders>
            <w:vAlign w:val="center"/>
            <w:hideMark/>
          </w:tcPr>
          <w:p w14:paraId="37D91AE9"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 xml:space="preserve">Append-only </w:t>
            </w:r>
            <w:r>
              <w:rPr>
                <w:rStyle w:val="HTMLCode"/>
                <w:color w:val="1A1F2B"/>
              </w:rPr>
              <w:t>AuditEntry</w:t>
            </w:r>
            <w:r>
              <w:rPr>
                <w:rFonts w:ascii="Segoe UI" w:eastAsia="Times New Roman" w:hAnsi="Segoe UI" w:cs="Segoe UI"/>
                <w:color w:val="1A1F2B"/>
                <w:sz w:val="20"/>
                <w:szCs w:val="20"/>
              </w:rPr>
              <w:t xml:space="preserve"> table; structured logging</w:t>
            </w:r>
          </w:p>
        </w:tc>
      </w:tr>
    </w:tbl>
    <w:p w14:paraId="1B9D74AF"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engines communicate through </w:t>
      </w:r>
      <w:r>
        <w:rPr>
          <w:rStyle w:val="Strong"/>
          <w:rFonts w:ascii="Segoe UI" w:hAnsi="Segoe UI" w:cs="Segoe UI"/>
          <w:color w:val="1A1F2B"/>
          <w:sz w:val="22"/>
          <w:szCs w:val="22"/>
          <w:lang w:val="en"/>
        </w:rPr>
        <w:t>domain events</w:t>
      </w:r>
      <w:r>
        <w:rPr>
          <w:rFonts w:ascii="Segoe UI" w:hAnsi="Segoe UI" w:cs="Segoe UI"/>
          <w:color w:val="1A1F2B"/>
          <w:sz w:val="22"/>
          <w:szCs w:val="22"/>
          <w:lang w:val="en"/>
        </w:rPr>
        <w:t xml:space="preserve"> following the mediator pattern. When the Workflow Engine completes a state transition, it publishes a </w:t>
      </w:r>
      <w:r>
        <w:rPr>
          <w:rStyle w:val="HTMLCode"/>
          <w:color w:val="1A1F2B"/>
          <w:lang w:val="en"/>
        </w:rPr>
        <w:t>StateTransitionEvent</w:t>
      </w:r>
      <w:r>
        <w:rPr>
          <w:rFonts w:ascii="Segoe UI" w:hAnsi="Segoe UI" w:cs="Segoe UI"/>
          <w:color w:val="1A1F2B"/>
          <w:sz w:val="22"/>
          <w:szCs w:val="22"/>
          <w:lang w:val="en"/>
        </w:rPr>
        <w:t xml:space="preserve">. The Notification Engine subscribes to this event and dispatches the appropriate notifications. The Audit Engine subscribes to all events and logs them. The Letter Engine listens for transitions into letter-related states and initiates PDF generation. This decoupled architecture ensures that each engine can evolve independently without creating tight dependencies. </w:t>
      </w:r>
    </w:p>
    <w:p w14:paraId="02922AAE"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5.5 Service and Repository Layers</w:t>
      </w:r>
    </w:p>
    <w:p w14:paraId="3C7C052A"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w:t>
      </w:r>
      <w:r>
        <w:rPr>
          <w:rStyle w:val="Strong"/>
          <w:rFonts w:ascii="Segoe UI" w:hAnsi="Segoe UI" w:cs="Segoe UI"/>
          <w:color w:val="1A1F2B"/>
          <w:sz w:val="22"/>
          <w:szCs w:val="22"/>
          <w:lang w:val="en"/>
        </w:rPr>
        <w:t>Service Layer</w:t>
      </w:r>
      <w:r>
        <w:rPr>
          <w:rFonts w:ascii="Segoe UI" w:hAnsi="Segoe UI" w:cs="Segoe UI"/>
          <w:color w:val="1A1F2B"/>
          <w:sz w:val="22"/>
          <w:szCs w:val="22"/>
          <w:lang w:val="en"/>
        </w:rPr>
        <w:t xml:space="preserve"> orchestrates business logic by coordinating between engines, repositories, and external integrations. Services are injected via ASP.NET Core dependency injection and follow the pattern established by the existing </w:t>
      </w:r>
      <w:r>
        <w:rPr>
          <w:rStyle w:val="HTMLCode"/>
          <w:color w:val="1A1F2B"/>
          <w:lang w:val="en"/>
        </w:rPr>
        <w:t>PropertyService</w:t>
      </w:r>
      <w:r>
        <w:rPr>
          <w:rFonts w:ascii="Segoe UI" w:hAnsi="Segoe UI" w:cs="Segoe UI"/>
          <w:color w:val="1A1F2B"/>
          <w:sz w:val="22"/>
          <w:szCs w:val="22"/>
          <w:lang w:val="en"/>
        </w:rPr>
        <w:t xml:space="preserve"> stub. Each service encapsulates a bounded context of domain logic (e.g., </w:t>
      </w:r>
      <w:r>
        <w:rPr>
          <w:rStyle w:val="HTMLCode"/>
          <w:color w:val="1A1F2B"/>
          <w:lang w:val="en"/>
        </w:rPr>
        <w:t>LetterService</w:t>
      </w:r>
      <w:r>
        <w:rPr>
          <w:rFonts w:ascii="Segoe UI" w:hAnsi="Segoe UI" w:cs="Segoe UI"/>
          <w:color w:val="1A1F2B"/>
          <w:sz w:val="22"/>
          <w:szCs w:val="22"/>
          <w:lang w:val="en"/>
        </w:rPr>
        <w:t xml:space="preserve"> manages all letter-related operations, </w:t>
      </w:r>
      <w:r>
        <w:rPr>
          <w:rStyle w:val="HTMLCode"/>
          <w:color w:val="1A1F2B"/>
          <w:lang w:val="en"/>
        </w:rPr>
        <w:t>ValidationService</w:t>
      </w:r>
      <w:r>
        <w:rPr>
          <w:rFonts w:ascii="Segoe UI" w:hAnsi="Segoe UI" w:cs="Segoe UI"/>
          <w:color w:val="1A1F2B"/>
          <w:sz w:val="22"/>
          <w:szCs w:val="22"/>
          <w:lang w:val="en"/>
        </w:rPr>
        <w:t xml:space="preserve"> manages ELU calculations). </w:t>
      </w:r>
    </w:p>
    <w:p w14:paraId="7CDEFFB0"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w:t>
      </w:r>
      <w:r>
        <w:rPr>
          <w:rStyle w:val="Strong"/>
          <w:rFonts w:ascii="Segoe UI" w:hAnsi="Segoe UI" w:cs="Segoe UI"/>
          <w:color w:val="1A1F2B"/>
          <w:sz w:val="22"/>
          <w:szCs w:val="22"/>
          <w:lang w:val="en"/>
        </w:rPr>
        <w:t>Repository Layer</w:t>
      </w:r>
      <w:r>
        <w:rPr>
          <w:rFonts w:ascii="Segoe UI" w:hAnsi="Segoe UI" w:cs="Segoe UI"/>
          <w:color w:val="1A1F2B"/>
          <w:sz w:val="22"/>
          <w:szCs w:val="22"/>
          <w:lang w:val="en"/>
        </w:rPr>
        <w:t xml:space="preserve"> provides data access through Entity Framework Core, implementing repository interfaces defined in the </w:t>
      </w:r>
      <w:r>
        <w:rPr>
          <w:rStyle w:val="HTMLCode"/>
          <w:color w:val="1A1F2B"/>
          <w:lang w:val="en"/>
        </w:rPr>
        <w:t>Interfaces/</w:t>
      </w:r>
      <w:r>
        <w:rPr>
          <w:rFonts w:ascii="Segoe UI" w:hAnsi="Segoe UI" w:cs="Segoe UI"/>
          <w:color w:val="1A1F2B"/>
          <w:sz w:val="22"/>
          <w:szCs w:val="22"/>
          <w:lang w:val="en"/>
        </w:rPr>
        <w:t xml:space="preserve"> directory (e.g., </w:t>
      </w:r>
      <w:r>
        <w:rPr>
          <w:rStyle w:val="HTMLCode"/>
          <w:color w:val="1A1F2B"/>
          <w:lang w:val="en"/>
        </w:rPr>
        <w:t>IPropertyInterface</w:t>
      </w:r>
      <w:r>
        <w:rPr>
          <w:rFonts w:ascii="Segoe UI" w:hAnsi="Segoe UI" w:cs="Segoe UI"/>
          <w:color w:val="1A1F2B"/>
          <w:sz w:val="22"/>
          <w:szCs w:val="22"/>
          <w:lang w:val="en"/>
        </w:rPr>
        <w:t xml:space="preserve">, </w:t>
      </w:r>
      <w:r>
        <w:rPr>
          <w:rStyle w:val="HTMLCode"/>
          <w:color w:val="1A1F2B"/>
          <w:lang w:val="en"/>
        </w:rPr>
        <w:t>IAddress</w:t>
      </w:r>
      <w:r>
        <w:rPr>
          <w:rFonts w:ascii="Segoe UI" w:hAnsi="Segoe UI" w:cs="Segoe UI"/>
          <w:color w:val="1A1F2B"/>
          <w:sz w:val="22"/>
          <w:szCs w:val="22"/>
          <w:lang w:val="en"/>
        </w:rPr>
        <w:t xml:space="preserve">, </w:t>
      </w:r>
      <w:r>
        <w:rPr>
          <w:rStyle w:val="HTMLCode"/>
          <w:color w:val="1A1F2B"/>
          <w:lang w:val="en"/>
        </w:rPr>
        <w:t>IForestation</w:t>
      </w:r>
      <w:r>
        <w:rPr>
          <w:rFonts w:ascii="Segoe UI" w:hAnsi="Segoe UI" w:cs="Segoe UI"/>
          <w:color w:val="1A1F2B"/>
          <w:sz w:val="22"/>
          <w:szCs w:val="22"/>
          <w:lang w:val="en"/>
        </w:rPr>
        <w:t xml:space="preserve">). All new repository methods follow the async/await pattern with </w:t>
      </w:r>
      <w:r>
        <w:rPr>
          <w:rStyle w:val="HTMLCode"/>
          <w:color w:val="1A1F2B"/>
          <w:lang w:val="en"/>
        </w:rPr>
        <w:lastRenderedPageBreak/>
        <w:t>SaveChangesAsync()</w:t>
      </w:r>
      <w:r>
        <w:rPr>
          <w:rFonts w:ascii="Segoe UI" w:hAnsi="Segoe UI" w:cs="Segoe UI"/>
          <w:color w:val="1A1F2B"/>
          <w:sz w:val="22"/>
          <w:szCs w:val="22"/>
          <w:lang w:val="en"/>
        </w:rPr>
        <w:t xml:space="preserve">. The single </w:t>
      </w:r>
      <w:r>
        <w:rPr>
          <w:rStyle w:val="HTMLCode"/>
          <w:color w:val="1A1F2B"/>
          <w:lang w:val="en"/>
        </w:rPr>
        <w:t>ApplicationDBContext</w:t>
      </w:r>
      <w:r>
        <w:rPr>
          <w:rFonts w:ascii="Segoe UI" w:hAnsi="Segoe UI" w:cs="Segoe UI"/>
          <w:color w:val="1A1F2B"/>
          <w:sz w:val="22"/>
          <w:szCs w:val="22"/>
          <w:lang w:val="en"/>
        </w:rPr>
        <w:t xml:space="preserve"> manages all entity relationships, with primary keys and foreign keys configured explicitly in </w:t>
      </w:r>
      <w:r>
        <w:rPr>
          <w:rStyle w:val="HTMLCode"/>
          <w:color w:val="1A1F2B"/>
          <w:lang w:val="en"/>
        </w:rPr>
        <w:t>OnModelCreating()</w:t>
      </w:r>
      <w:r>
        <w:rPr>
          <w:rFonts w:ascii="Segoe UI" w:hAnsi="Segoe UI" w:cs="Segoe UI"/>
          <w:color w:val="1A1F2B"/>
          <w:sz w:val="22"/>
          <w:szCs w:val="22"/>
          <w:lang w:val="en"/>
        </w:rPr>
        <w:t xml:space="preserve">. </w:t>
      </w:r>
    </w:p>
    <w:p w14:paraId="1203F535" w14:textId="77777777" w:rsidR="00000000" w:rsidRDefault="00000000">
      <w:pPr>
        <w:shd w:val="clear" w:color="auto" w:fill="F0F6FC"/>
        <w:divId w:val="794063096"/>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Repository Pattern and Interface Contracts</w:t>
      </w:r>
    </w:p>
    <w:p w14:paraId="3CE2A5E1" w14:textId="77777777" w:rsidR="00000000" w:rsidRDefault="00000000">
      <w:pPr>
        <w:shd w:val="clear" w:color="auto" w:fill="F0F6FC"/>
        <w:divId w:val="355616009"/>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Every data access operation is abstracted behind an interface, allowing the service and engine layers to be tested independently of the database. New repositories must be registered in </w:t>
      </w:r>
      <w:r>
        <w:rPr>
          <w:rStyle w:val="HTMLCode"/>
          <w:color w:val="1A1F2B"/>
          <w:lang w:val="en"/>
        </w:rPr>
        <w:t>Program.cs</w:t>
      </w:r>
      <w:r>
        <w:rPr>
          <w:rFonts w:ascii="Segoe UI" w:eastAsia="Times New Roman" w:hAnsi="Segoe UI" w:cs="Segoe UI"/>
          <w:color w:val="1A1F2B"/>
          <w:sz w:val="20"/>
          <w:szCs w:val="20"/>
          <w:lang w:val="en"/>
        </w:rPr>
        <w:t xml:space="preserve"> using </w:t>
      </w:r>
      <w:r>
        <w:rPr>
          <w:rStyle w:val="HTMLCode"/>
          <w:color w:val="1A1F2B"/>
          <w:lang w:val="en"/>
        </w:rPr>
        <w:t>builder.Services.AddScoped&lt;IXxx, XxxRepository&gt;()</w:t>
      </w:r>
      <w:r>
        <w:rPr>
          <w:rFonts w:ascii="Segoe UI" w:eastAsia="Times New Roman" w:hAnsi="Segoe UI" w:cs="Segoe UI"/>
          <w:color w:val="1A1F2B"/>
          <w:sz w:val="20"/>
          <w:szCs w:val="20"/>
          <w:lang w:val="en"/>
        </w:rPr>
        <w:t xml:space="preserve">. </w:t>
      </w:r>
    </w:p>
    <w:p w14:paraId="5E028858"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5.6 Database Schema Groups</w:t>
      </w:r>
    </w:p>
    <w:p w14:paraId="22358F7B"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The SQL Server database (</w:t>
      </w:r>
      <w:r>
        <w:rPr>
          <w:rStyle w:val="HTMLCode"/>
          <w:color w:val="1A1F2B"/>
          <w:lang w:val="en"/>
        </w:rPr>
        <w:t>dwa_val_ver</w:t>
      </w:r>
      <w:r>
        <w:rPr>
          <w:rFonts w:ascii="Segoe UI" w:hAnsi="Segoe UI" w:cs="Segoe UI"/>
          <w:color w:val="1A1F2B"/>
          <w:sz w:val="22"/>
          <w:szCs w:val="22"/>
          <w:lang w:val="en"/>
        </w:rPr>
        <w:t xml:space="preserve">) is organised into five logical schema groups, as reflected in the data flow diagram: </w:t>
      </w:r>
    </w:p>
    <w:tbl>
      <w:tblPr>
        <w:tblW w:w="5000" w:type="pct"/>
        <w:tblCellMar>
          <w:top w:w="15" w:type="dxa"/>
          <w:left w:w="15" w:type="dxa"/>
          <w:bottom w:w="15" w:type="dxa"/>
          <w:right w:w="15" w:type="dxa"/>
        </w:tblCellMar>
        <w:tblLook w:val="04A0" w:firstRow="1" w:lastRow="0" w:firstColumn="1" w:lastColumn="0" w:noHBand="0" w:noVBand="1"/>
      </w:tblPr>
      <w:tblGrid>
        <w:gridCol w:w="1757"/>
        <w:gridCol w:w="4495"/>
        <w:gridCol w:w="3108"/>
      </w:tblGrid>
      <w:tr w:rsidR="00000000" w14:paraId="58F087B0" w14:textId="77777777">
        <w:tc>
          <w:tcPr>
            <w:tcW w:w="0" w:type="auto"/>
            <w:shd w:val="clear" w:color="auto" w:fill="002855"/>
            <w:vAlign w:val="center"/>
            <w:hideMark/>
          </w:tcPr>
          <w:p w14:paraId="7BCE30A8"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Schema Group</w:t>
            </w:r>
          </w:p>
        </w:tc>
        <w:tc>
          <w:tcPr>
            <w:tcW w:w="0" w:type="auto"/>
            <w:shd w:val="clear" w:color="auto" w:fill="002855"/>
            <w:vAlign w:val="center"/>
            <w:hideMark/>
          </w:tcPr>
          <w:p w14:paraId="302D881B"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Tables</w:t>
            </w:r>
          </w:p>
        </w:tc>
        <w:tc>
          <w:tcPr>
            <w:tcW w:w="0" w:type="auto"/>
            <w:shd w:val="clear" w:color="auto" w:fill="002855"/>
            <w:vAlign w:val="center"/>
            <w:hideMark/>
          </w:tcPr>
          <w:p w14:paraId="5DCB3D03"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Purpose</w:t>
            </w:r>
          </w:p>
        </w:tc>
      </w:tr>
      <w:tr w:rsidR="00000000" w14:paraId="23BEBA88" w14:textId="77777777">
        <w:tc>
          <w:tcPr>
            <w:tcW w:w="0" w:type="auto"/>
            <w:tcBorders>
              <w:bottom w:val="single" w:sz="6" w:space="0" w:color="E2E6EA"/>
            </w:tcBorders>
            <w:vAlign w:val="center"/>
            <w:hideMark/>
          </w:tcPr>
          <w:p w14:paraId="1E923E7C"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Core Domain</w:t>
            </w:r>
          </w:p>
        </w:tc>
        <w:tc>
          <w:tcPr>
            <w:tcW w:w="0" w:type="auto"/>
            <w:tcBorders>
              <w:bottom w:val="single" w:sz="6" w:space="0" w:color="E2E6EA"/>
            </w:tcBorders>
            <w:vAlign w:val="center"/>
            <w:hideMark/>
          </w:tcPr>
          <w:p w14:paraId="6B73E2D3"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Property, FileMaster, Entitlement, Validation, Irrigation, FieldAndCrop, DamCalculation, Forestation, Storing, PropertyOwner, PropertyOwnership</w:t>
            </w:r>
          </w:p>
        </w:tc>
        <w:tc>
          <w:tcPr>
            <w:tcW w:w="0" w:type="auto"/>
            <w:tcBorders>
              <w:bottom w:val="single" w:sz="6" w:space="0" w:color="E2E6EA"/>
            </w:tcBorders>
            <w:vAlign w:val="center"/>
            <w:hideMark/>
          </w:tcPr>
          <w:p w14:paraId="57D1B94E"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The central V&amp;V entities representing properties, case files, water use data, and calculations</w:t>
            </w:r>
          </w:p>
        </w:tc>
      </w:tr>
      <w:tr w:rsidR="00000000" w14:paraId="2725548F" w14:textId="77777777">
        <w:tc>
          <w:tcPr>
            <w:tcW w:w="0" w:type="auto"/>
            <w:tcBorders>
              <w:bottom w:val="single" w:sz="6" w:space="0" w:color="E2E6EA"/>
            </w:tcBorders>
            <w:vAlign w:val="center"/>
            <w:hideMark/>
          </w:tcPr>
          <w:p w14:paraId="6706BB09"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Organisation &amp; Reference</w:t>
            </w:r>
          </w:p>
        </w:tc>
        <w:tc>
          <w:tcPr>
            <w:tcW w:w="0" w:type="auto"/>
            <w:tcBorders>
              <w:bottom w:val="single" w:sz="6" w:space="0" w:color="E2E6EA"/>
            </w:tcBorders>
            <w:vAlign w:val="center"/>
            <w:hideMark/>
          </w:tcPr>
          <w:p w14:paraId="08423AFD"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Province, WaterManagementArea, OrganisationalUnit, River, Address, SateliteImage, lookup tables (ValidationStatus, RegistrationStatus, etc.)</w:t>
            </w:r>
          </w:p>
        </w:tc>
        <w:tc>
          <w:tcPr>
            <w:tcW w:w="0" w:type="auto"/>
            <w:tcBorders>
              <w:bottom w:val="single" w:sz="6" w:space="0" w:color="E2E6EA"/>
            </w:tcBorders>
            <w:vAlign w:val="center"/>
            <w:hideMark/>
          </w:tcPr>
          <w:p w14:paraId="6FDDB2E8"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Organisational hierarchy, geographic reference data, and seed/lookup values</w:t>
            </w:r>
          </w:p>
        </w:tc>
      </w:tr>
      <w:tr w:rsidR="00000000" w14:paraId="60C0A076" w14:textId="77777777">
        <w:tc>
          <w:tcPr>
            <w:tcW w:w="0" w:type="auto"/>
            <w:tcBorders>
              <w:bottom w:val="single" w:sz="6" w:space="0" w:color="E2E6EA"/>
            </w:tcBorders>
            <w:vAlign w:val="center"/>
            <w:hideMark/>
          </w:tcPr>
          <w:p w14:paraId="5E29C98A"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Workflow Schema</w:t>
            </w:r>
          </w:p>
        </w:tc>
        <w:tc>
          <w:tcPr>
            <w:tcW w:w="0" w:type="auto"/>
            <w:tcBorders>
              <w:bottom w:val="single" w:sz="6" w:space="0" w:color="E2E6EA"/>
            </w:tcBorders>
            <w:vAlign w:val="center"/>
            <w:hideMark/>
          </w:tcPr>
          <w:p w14:paraId="042599F0"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WorkflowState, WorkflowInstance, WorkflowStepRecord, AuditEntry</w:t>
            </w:r>
          </w:p>
        </w:tc>
        <w:tc>
          <w:tcPr>
            <w:tcW w:w="0" w:type="auto"/>
            <w:tcBorders>
              <w:bottom w:val="single" w:sz="6" w:space="0" w:color="E2E6EA"/>
            </w:tcBorders>
            <w:vAlign w:val="center"/>
            <w:hideMark/>
          </w:tcPr>
          <w:p w14:paraId="318F47C2"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State machine state storage, transition history, and immutable audit log</w:t>
            </w:r>
          </w:p>
        </w:tc>
      </w:tr>
      <w:tr w:rsidR="00000000" w14:paraId="6C6AF748" w14:textId="77777777">
        <w:tc>
          <w:tcPr>
            <w:tcW w:w="0" w:type="auto"/>
            <w:tcBorders>
              <w:bottom w:val="single" w:sz="6" w:space="0" w:color="E2E6EA"/>
            </w:tcBorders>
            <w:vAlign w:val="center"/>
            <w:hideMark/>
          </w:tcPr>
          <w:p w14:paraId="58D8B78A"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Correspondence</w:t>
            </w:r>
          </w:p>
        </w:tc>
        <w:tc>
          <w:tcPr>
            <w:tcW w:w="0" w:type="auto"/>
            <w:tcBorders>
              <w:bottom w:val="single" w:sz="6" w:space="0" w:color="E2E6EA"/>
            </w:tcBorders>
            <w:vAlign w:val="center"/>
            <w:hideMark/>
          </w:tcPr>
          <w:p w14:paraId="0D061FD3"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LetterType, LetterIssuance, UploadedDocument, DigitalSignature, SignatureRequest</w:t>
            </w:r>
          </w:p>
        </w:tc>
        <w:tc>
          <w:tcPr>
            <w:tcW w:w="0" w:type="auto"/>
            <w:tcBorders>
              <w:bottom w:val="single" w:sz="6" w:space="0" w:color="E2E6EA"/>
            </w:tcBorders>
            <w:vAlign w:val="center"/>
            <w:hideMark/>
          </w:tcPr>
          <w:p w14:paraId="3EFF8A57"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Section 35 letter types, issuance records, document storage references, and electronic signatures</w:t>
            </w:r>
          </w:p>
        </w:tc>
      </w:tr>
      <w:tr w:rsidR="00000000" w14:paraId="53AC07EB" w14:textId="77777777">
        <w:tc>
          <w:tcPr>
            <w:tcW w:w="0" w:type="auto"/>
            <w:tcBorders>
              <w:bottom w:val="single" w:sz="6" w:space="0" w:color="E2E6EA"/>
            </w:tcBorders>
            <w:vAlign w:val="center"/>
            <w:hideMark/>
          </w:tcPr>
          <w:p w14:paraId="5E9D7087"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Portal Schema</w:t>
            </w:r>
          </w:p>
        </w:tc>
        <w:tc>
          <w:tcPr>
            <w:tcW w:w="0" w:type="auto"/>
            <w:tcBorders>
              <w:bottom w:val="single" w:sz="6" w:space="0" w:color="E2E6EA"/>
            </w:tcBorders>
            <w:vAlign w:val="center"/>
            <w:hideMark/>
          </w:tcPr>
          <w:p w14:paraId="58F2D01F"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ExternalUser, ExternalUserProperty, CaseComment, CaseNotification, Protest, ProtestDocument</w:t>
            </w:r>
          </w:p>
        </w:tc>
        <w:tc>
          <w:tcPr>
            <w:tcW w:w="0" w:type="auto"/>
            <w:tcBorders>
              <w:bottom w:val="single" w:sz="6" w:space="0" w:color="E2E6EA"/>
            </w:tcBorders>
            <w:vAlign w:val="center"/>
            <w:hideMark/>
          </w:tcPr>
          <w:p w14:paraId="7627105F"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External water user accounts, case comments, notifications, and protest records for the public-facing portal</w:t>
            </w:r>
          </w:p>
        </w:tc>
      </w:tr>
    </w:tbl>
    <w:p w14:paraId="09B8A282"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All primary keys are </w:t>
      </w:r>
      <w:r>
        <w:rPr>
          <w:rStyle w:val="HTMLCode"/>
          <w:color w:val="1A1F2B"/>
          <w:lang w:val="en"/>
        </w:rPr>
        <w:t>Guid</w:t>
      </w:r>
      <w:r>
        <w:rPr>
          <w:rFonts w:ascii="Segoe UI" w:hAnsi="Segoe UI" w:cs="Segoe UI"/>
          <w:color w:val="1A1F2B"/>
          <w:sz w:val="22"/>
          <w:szCs w:val="22"/>
          <w:lang w:val="en"/>
        </w:rPr>
        <w:t xml:space="preserve"> values, configured in </w:t>
      </w:r>
      <w:r>
        <w:rPr>
          <w:rStyle w:val="HTMLCode"/>
          <w:color w:val="1A1F2B"/>
          <w:lang w:val="en"/>
        </w:rPr>
        <w:t>OnModelCreating()</w:t>
      </w:r>
      <w:r>
        <w:rPr>
          <w:rFonts w:ascii="Segoe UI" w:hAnsi="Segoe UI" w:cs="Segoe UI"/>
          <w:color w:val="1A1F2B"/>
          <w:sz w:val="22"/>
          <w:szCs w:val="22"/>
          <w:lang w:val="en"/>
        </w:rPr>
        <w:t xml:space="preserve">. Decimal columns use </w:t>
      </w:r>
      <w:r>
        <w:rPr>
          <w:rStyle w:val="HTMLCode"/>
          <w:color w:val="1A1F2B"/>
          <w:lang w:val="en"/>
        </w:rPr>
        <w:t>decimal(18,2)</w:t>
      </w:r>
      <w:r>
        <w:rPr>
          <w:rFonts w:ascii="Segoe UI" w:hAnsi="Segoe UI" w:cs="Segoe UI"/>
          <w:color w:val="1A1F2B"/>
          <w:sz w:val="22"/>
          <w:szCs w:val="22"/>
          <w:lang w:val="en"/>
        </w:rPr>
        <w:t xml:space="preserve"> for volumes and areas, and </w:t>
      </w:r>
      <w:r>
        <w:rPr>
          <w:rStyle w:val="HTMLCode"/>
          <w:color w:val="1A1F2B"/>
          <w:lang w:val="en"/>
        </w:rPr>
        <w:t>decimal(9,6)</w:t>
      </w:r>
      <w:r>
        <w:rPr>
          <w:rFonts w:ascii="Segoe UI" w:hAnsi="Segoe UI" w:cs="Segoe UI"/>
          <w:color w:val="1A1F2B"/>
          <w:sz w:val="22"/>
          <w:szCs w:val="22"/>
          <w:lang w:val="en"/>
        </w:rPr>
        <w:t xml:space="preserve"> for geographic coordinates (latitude/longitude). </w:t>
      </w:r>
    </w:p>
    <w:p w14:paraId="0B3F0A6E" w14:textId="52C7C79C" w:rsidR="00000000" w:rsidRDefault="00000000" w:rsidP="00AF24FB">
      <w:pPr>
        <w:pStyle w:val="Heading1"/>
        <w:numPr>
          <w:ilvl w:val="0"/>
          <w:numId w:val="12"/>
        </w:numPr>
        <w:rPr>
          <w:rFonts w:ascii="Segoe UI" w:eastAsia="Times New Roman" w:hAnsi="Segoe UI" w:cs="Segoe UI"/>
          <w:lang w:val="en"/>
        </w:rPr>
      </w:pPr>
      <w:r>
        <w:rPr>
          <w:rFonts w:ascii="Segoe UI" w:eastAsia="Times New Roman" w:hAnsi="Segoe UI" w:cs="Segoe UI"/>
          <w:lang w:val="en"/>
        </w:rPr>
        <w:lastRenderedPageBreak/>
        <w:t>Electronic Signature Flow</w:t>
      </w:r>
    </w:p>
    <w:p w14:paraId="50045F45" w14:textId="3F875091" w:rsidR="00AF24FB" w:rsidRDefault="00AF24FB" w:rsidP="00AF24FB">
      <w:pPr>
        <w:pStyle w:val="Heading1"/>
        <w:rPr>
          <w:rFonts w:ascii="Segoe UI" w:eastAsia="Times New Roman" w:hAnsi="Segoe UI" w:cs="Segoe UI"/>
          <w:lang w:val="en"/>
        </w:rPr>
      </w:pPr>
      <w:r w:rsidRPr="00AF24FB">
        <w:rPr>
          <w:rFonts w:ascii="Segoe UI" w:eastAsia="Times New Roman" w:hAnsi="Segoe UI" w:cs="Segoe UI"/>
          <w:lang w:val="en"/>
        </w:rPr>
        <w:drawing>
          <wp:inline distT="0" distB="0" distL="0" distR="0" wp14:anchorId="452AA364" wp14:editId="2372D560">
            <wp:extent cx="5707551" cy="6622473"/>
            <wp:effectExtent l="0" t="0" r="0" b="0"/>
            <wp:docPr id="2882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7966" name=""/>
                    <pic:cNvPicPr/>
                  </pic:nvPicPr>
                  <pic:blipFill>
                    <a:blip r:embed="rId10"/>
                    <a:stretch>
                      <a:fillRect/>
                    </a:stretch>
                  </pic:blipFill>
                  <pic:spPr>
                    <a:xfrm>
                      <a:off x="0" y="0"/>
                      <a:ext cx="5738022" cy="6657828"/>
                    </a:xfrm>
                    <a:prstGeom prst="rect">
                      <a:avLst/>
                    </a:prstGeom>
                  </pic:spPr>
                </pic:pic>
              </a:graphicData>
            </a:graphic>
          </wp:inline>
        </w:drawing>
      </w:r>
    </w:p>
    <w:p w14:paraId="0C7FD017" w14:textId="0A5E88CC" w:rsidR="00000000" w:rsidRDefault="00000000">
      <w:pPr>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 xml:space="preserve">Figure 4 — Signature Flow: dual-path electronic signature capture, verification, and storage for both internal DWS officials and external water users. </w:t>
      </w:r>
    </w:p>
    <w:p w14:paraId="1E5EC9B1"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lastRenderedPageBreak/>
        <w:t>6.1 Overview</w:t>
      </w:r>
    </w:p>
    <w:p w14:paraId="356C3BC8"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electronic signature flow provides a </w:t>
      </w:r>
      <w:r>
        <w:rPr>
          <w:rStyle w:val="Strong"/>
          <w:rFonts w:ascii="Segoe UI" w:hAnsi="Segoe UI" w:cs="Segoe UI"/>
          <w:color w:val="1A1F2B"/>
          <w:sz w:val="22"/>
          <w:szCs w:val="22"/>
          <w:lang w:val="en"/>
        </w:rPr>
        <w:t>dual-path signing mechanism</w:t>
      </w:r>
      <w:r>
        <w:rPr>
          <w:rFonts w:ascii="Segoe UI" w:hAnsi="Segoe UI" w:cs="Segoe UI"/>
          <w:color w:val="1A1F2B"/>
          <w:sz w:val="22"/>
          <w:szCs w:val="22"/>
          <w:lang w:val="en"/>
        </w:rPr>
        <w:t xml:space="preserve"> that serves both internal DWS officials (who sign letters in the internal application) and external water users (who sign acknowledgements and responses through the public portal). As shown in Figure 4, the flow begins when a letter PDF is generated and ends when the signed document is stored, the letter issuance record is updated, and downstream notifications are triggered. </w:t>
      </w:r>
    </w:p>
    <w:p w14:paraId="143E2F24"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signature mechanism is designed to produce legally admissible electronic signatures that comply with the Electronic Communications and Transactions Act (ECTA), Act 25 of 2002, by capturing sufficient metadata to establish the identity of the signatory, the integrity of the signed document, and the intent to sign. </w:t>
      </w:r>
    </w:p>
    <w:p w14:paraId="30A3367F"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6.2 Signature Request Creation</w:t>
      </w:r>
    </w:p>
    <w:p w14:paraId="006E6561"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signature flow is initiated when the </w:t>
      </w:r>
      <w:r>
        <w:rPr>
          <w:rStyle w:val="HTMLCode"/>
          <w:color w:val="1A1F2B"/>
          <w:lang w:val="en"/>
        </w:rPr>
        <w:t>LetterService</w:t>
      </w:r>
      <w:r>
        <w:rPr>
          <w:rFonts w:ascii="Segoe UI" w:hAnsi="Segoe UI" w:cs="Segoe UI"/>
          <w:color w:val="1A1F2B"/>
          <w:sz w:val="22"/>
          <w:szCs w:val="22"/>
          <w:lang w:val="en"/>
        </w:rPr>
        <w:t xml:space="preserve"> generates a letter PDF and creates a </w:t>
      </w:r>
      <w:r>
        <w:rPr>
          <w:rStyle w:val="Strong"/>
          <w:rFonts w:ascii="Segoe UI" w:hAnsi="Segoe UI" w:cs="Segoe UI"/>
          <w:color w:val="1A1F2B"/>
          <w:sz w:val="22"/>
          <w:szCs w:val="22"/>
          <w:lang w:val="en"/>
        </w:rPr>
        <w:t>SignatureRequest</w:t>
      </w:r>
      <w:r>
        <w:rPr>
          <w:rFonts w:ascii="Segoe UI" w:hAnsi="Segoe UI" w:cs="Segoe UI"/>
          <w:color w:val="1A1F2B"/>
          <w:sz w:val="22"/>
          <w:szCs w:val="22"/>
          <w:lang w:val="en"/>
        </w:rPr>
        <w:t xml:space="preserve"> record: </w:t>
      </w:r>
    </w:p>
    <w:p w14:paraId="2633F968" w14:textId="77777777" w:rsidR="00000000" w:rsidRDefault="00000000">
      <w:pPr>
        <w:numPr>
          <w:ilvl w:val="0"/>
          <w:numId w:val="1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DocumentId</w:t>
      </w:r>
      <w:r>
        <w:rPr>
          <w:rFonts w:ascii="Segoe UI" w:eastAsia="Times New Roman" w:hAnsi="Segoe UI" w:cs="Segoe UI"/>
          <w:color w:val="1A1F2B"/>
          <w:sz w:val="22"/>
          <w:szCs w:val="22"/>
          <w:lang w:val="en"/>
        </w:rPr>
        <w:t xml:space="preserve"> — FK to the generated letter document</w:t>
      </w:r>
    </w:p>
    <w:p w14:paraId="32F3C2FB" w14:textId="77777777" w:rsidR="00000000" w:rsidRDefault="00000000">
      <w:pPr>
        <w:numPr>
          <w:ilvl w:val="0"/>
          <w:numId w:val="1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RequestedSignatoryId</w:t>
      </w:r>
      <w:r>
        <w:rPr>
          <w:rFonts w:ascii="Segoe UI" w:eastAsia="Times New Roman" w:hAnsi="Segoe UI" w:cs="Segoe UI"/>
          <w:color w:val="1A1F2B"/>
          <w:sz w:val="22"/>
          <w:szCs w:val="22"/>
          <w:lang w:val="en"/>
        </w:rPr>
        <w:t xml:space="preserve"> — The user who is required to sign (identified by role and organisational unit)</w:t>
      </w:r>
    </w:p>
    <w:p w14:paraId="4C8BDF00" w14:textId="77777777" w:rsidR="00000000" w:rsidRDefault="00000000">
      <w:pPr>
        <w:numPr>
          <w:ilvl w:val="0"/>
          <w:numId w:val="1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Reason</w:t>
      </w:r>
      <w:r>
        <w:rPr>
          <w:rFonts w:ascii="Segoe UI" w:eastAsia="Times New Roman" w:hAnsi="Segoe UI" w:cs="Segoe UI"/>
          <w:color w:val="1A1F2B"/>
          <w:sz w:val="22"/>
          <w:szCs w:val="22"/>
          <w:lang w:val="en"/>
        </w:rPr>
        <w:t xml:space="preserve"> — The legal basis for the signature (e.g., "S35(1) Notice — Regional Manager approval")</w:t>
      </w:r>
    </w:p>
    <w:p w14:paraId="2CF6F3F5" w14:textId="77777777" w:rsidR="00000000" w:rsidRDefault="00000000">
      <w:pPr>
        <w:numPr>
          <w:ilvl w:val="0"/>
          <w:numId w:val="1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Status</w:t>
      </w:r>
      <w:r>
        <w:rPr>
          <w:rFonts w:ascii="Segoe UI" w:eastAsia="Times New Roman" w:hAnsi="Segoe UI" w:cs="Segoe UI"/>
          <w:color w:val="1A1F2B"/>
          <w:sz w:val="22"/>
          <w:szCs w:val="22"/>
          <w:lang w:val="en"/>
        </w:rPr>
        <w:t xml:space="preserve"> — Initially set to </w:t>
      </w:r>
      <w:r>
        <w:rPr>
          <w:rStyle w:val="HTMLCode"/>
          <w:color w:val="1A1F2B"/>
          <w:lang w:val="en"/>
        </w:rPr>
        <w:t>Pending</w:t>
      </w:r>
    </w:p>
    <w:p w14:paraId="18F9BDEC" w14:textId="77777777" w:rsidR="00000000" w:rsidRDefault="00000000">
      <w:pPr>
        <w:numPr>
          <w:ilvl w:val="0"/>
          <w:numId w:val="1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CreatedDate</w:t>
      </w:r>
      <w:r>
        <w:rPr>
          <w:rFonts w:ascii="Segoe UI" w:eastAsia="Times New Roman" w:hAnsi="Segoe UI" w:cs="Segoe UI"/>
          <w:color w:val="1A1F2B"/>
          <w:sz w:val="22"/>
          <w:szCs w:val="22"/>
          <w:lang w:val="en"/>
        </w:rPr>
        <w:t xml:space="preserve"> — Timestamp of request creation</w:t>
      </w:r>
    </w:p>
    <w:p w14:paraId="3FF7B7E3" w14:textId="77777777" w:rsidR="00000000" w:rsidRDefault="00000000">
      <w:pPr>
        <w:numPr>
          <w:ilvl w:val="0"/>
          <w:numId w:val="16"/>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DocumentHashAtCreation</w:t>
      </w:r>
      <w:r>
        <w:rPr>
          <w:rFonts w:ascii="Segoe UI" w:eastAsia="Times New Roman" w:hAnsi="Segoe UI" w:cs="Segoe UI"/>
          <w:color w:val="1A1F2B"/>
          <w:sz w:val="22"/>
          <w:szCs w:val="22"/>
          <w:lang w:val="en"/>
        </w:rPr>
        <w:t xml:space="preserve"> — SHA-256 hash of the PDF at the time of request, used later for tamper detection</w:t>
      </w:r>
    </w:p>
    <w:p w14:paraId="1D565F4D"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6.3 Notification Routing</w:t>
      </w:r>
    </w:p>
    <w:p w14:paraId="1592CCAA"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SignatureRequest triggers a notification through the </w:t>
      </w:r>
      <w:r>
        <w:rPr>
          <w:rStyle w:val="HTMLCode"/>
          <w:color w:val="1A1F2B"/>
          <w:lang w:val="en"/>
        </w:rPr>
        <w:t>NotificationService</w:t>
      </w:r>
      <w:r>
        <w:rPr>
          <w:rFonts w:ascii="Segoe UI" w:hAnsi="Segoe UI" w:cs="Segoe UI"/>
          <w:color w:val="1A1F2B"/>
          <w:sz w:val="22"/>
          <w:szCs w:val="22"/>
          <w:lang w:val="en"/>
        </w:rPr>
        <w:t xml:space="preserve">, routed based on the signatory type: </w:t>
      </w:r>
    </w:p>
    <w:p w14:paraId="3BC2585F"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Internal User (DWS Official)</w:t>
      </w:r>
    </w:p>
    <w:p w14:paraId="29C4FA59"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An in-app notification of type </w:t>
      </w:r>
      <w:r>
        <w:rPr>
          <w:rStyle w:val="HTMLCode"/>
          <w:color w:val="1A1F2B"/>
          <w:lang w:val="en"/>
        </w:rPr>
        <w:t>LetterReadyForSigning</w:t>
      </w:r>
      <w:r>
        <w:rPr>
          <w:rFonts w:ascii="Segoe UI" w:hAnsi="Segoe UI" w:cs="Segoe UI"/>
          <w:color w:val="1A1F2B"/>
          <w:sz w:val="22"/>
          <w:szCs w:val="22"/>
          <w:lang w:val="en"/>
        </w:rPr>
        <w:t xml:space="preserve"> is displayed in the notification bell of the internal application. Clicking the notification routes the user to </w:t>
      </w:r>
      <w:r>
        <w:rPr>
          <w:rStyle w:val="HTMLCode"/>
          <w:color w:val="1A1F2B"/>
          <w:lang w:val="en"/>
        </w:rPr>
        <w:t>/Letters/{id}/Sign</w:t>
      </w:r>
      <w:r>
        <w:rPr>
          <w:rFonts w:ascii="Segoe UI" w:hAnsi="Segoe UI" w:cs="Segoe UI"/>
          <w:color w:val="1A1F2B"/>
          <w:sz w:val="22"/>
          <w:szCs w:val="22"/>
          <w:lang w:val="en"/>
        </w:rPr>
        <w:t xml:space="preserve">, where the letter PDF is displayed alongside the signature capture interface. </w:t>
      </w:r>
    </w:p>
    <w:p w14:paraId="04C4E6E7"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External Portal User (Water User)</w:t>
      </w:r>
    </w:p>
    <w:p w14:paraId="10DAD2B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A portal notification of type </w:t>
      </w:r>
      <w:r>
        <w:rPr>
          <w:rStyle w:val="HTMLCode"/>
          <w:color w:val="1A1F2B"/>
          <w:lang w:val="en"/>
        </w:rPr>
        <w:t>SignatureRequired</w:t>
      </w:r>
      <w:r>
        <w:rPr>
          <w:rFonts w:ascii="Segoe UI" w:hAnsi="Segoe UI" w:cs="Segoe UI"/>
          <w:color w:val="1A1F2B"/>
          <w:sz w:val="22"/>
          <w:szCs w:val="22"/>
          <w:lang w:val="en"/>
        </w:rPr>
        <w:t xml:space="preserve"> is created, accompanied by an email notification to the external user's registered email address. The portal notification routes to </w:t>
      </w:r>
      <w:r>
        <w:rPr>
          <w:rStyle w:val="HTMLCode"/>
          <w:color w:val="1A1F2B"/>
          <w:lang w:val="en"/>
        </w:rPr>
        <w:lastRenderedPageBreak/>
        <w:t>/Portal/Cases/{id}/Sign</w:t>
      </w:r>
      <w:r>
        <w:rPr>
          <w:rFonts w:ascii="Segoe UI" w:hAnsi="Segoe UI" w:cs="Segoe UI"/>
          <w:color w:val="1A1F2B"/>
          <w:sz w:val="22"/>
          <w:szCs w:val="22"/>
          <w:lang w:val="en"/>
        </w:rPr>
        <w:t xml:space="preserve">, where the same signature capture interface is presented within the external portal layout. </w:t>
      </w:r>
    </w:p>
    <w:p w14:paraId="35D32D38"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6.4 Signature Capture</w:t>
      </w:r>
    </w:p>
    <w:p w14:paraId="017A9CA8"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Both internal and external signing interfaces use </w:t>
      </w:r>
      <w:r>
        <w:rPr>
          <w:rStyle w:val="Strong"/>
          <w:rFonts w:ascii="Segoe UI" w:hAnsi="Segoe UI" w:cs="Segoe UI"/>
          <w:color w:val="1A1F2B"/>
          <w:sz w:val="22"/>
          <w:szCs w:val="22"/>
          <w:lang w:val="en"/>
        </w:rPr>
        <w:t>SignaturePad.js</w:t>
      </w:r>
      <w:r>
        <w:rPr>
          <w:rFonts w:ascii="Segoe UI" w:hAnsi="Segoe UI" w:cs="Segoe UI"/>
          <w:color w:val="1A1F2B"/>
          <w:sz w:val="22"/>
          <w:szCs w:val="22"/>
          <w:lang w:val="en"/>
        </w:rPr>
        <w:t xml:space="preserve"> to render an HTML5 canvas element where the user draws their signature. Upon submission, the following payload is assembled: </w:t>
      </w:r>
    </w:p>
    <w:p w14:paraId="57D88E4E" w14:textId="77777777" w:rsidR="00000000" w:rsidRDefault="00000000">
      <w:pPr>
        <w:numPr>
          <w:ilvl w:val="0"/>
          <w:numId w:val="17"/>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Signature Image</w:t>
      </w:r>
      <w:r>
        <w:rPr>
          <w:rFonts w:ascii="Segoe UI" w:eastAsia="Times New Roman" w:hAnsi="Segoe UI" w:cs="Segoe UI"/>
          <w:color w:val="1A1F2B"/>
          <w:sz w:val="22"/>
          <w:szCs w:val="22"/>
          <w:lang w:val="en"/>
        </w:rPr>
        <w:t xml:space="preserve"> — The drawn signature exported as a PNG data URI</w:t>
      </w:r>
    </w:p>
    <w:p w14:paraId="29D825CC" w14:textId="77777777" w:rsidR="00000000" w:rsidRDefault="00000000">
      <w:pPr>
        <w:numPr>
          <w:ilvl w:val="0"/>
          <w:numId w:val="17"/>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Timestamp</w:t>
      </w:r>
      <w:r>
        <w:rPr>
          <w:rFonts w:ascii="Segoe UI" w:eastAsia="Times New Roman" w:hAnsi="Segoe UI" w:cs="Segoe UI"/>
          <w:color w:val="1A1F2B"/>
          <w:sz w:val="22"/>
          <w:szCs w:val="22"/>
          <w:lang w:val="en"/>
        </w:rPr>
        <w:t xml:space="preserve"> — The exact date and time of signing (server-validated)</w:t>
      </w:r>
    </w:p>
    <w:p w14:paraId="642ED1C8" w14:textId="77777777" w:rsidR="00000000" w:rsidRDefault="00000000">
      <w:pPr>
        <w:numPr>
          <w:ilvl w:val="0"/>
          <w:numId w:val="17"/>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IP Address</w:t>
      </w:r>
      <w:r>
        <w:rPr>
          <w:rFonts w:ascii="Segoe UI" w:eastAsia="Times New Roman" w:hAnsi="Segoe UI" w:cs="Segoe UI"/>
          <w:color w:val="1A1F2B"/>
          <w:sz w:val="22"/>
          <w:szCs w:val="22"/>
          <w:lang w:val="en"/>
        </w:rPr>
        <w:t xml:space="preserve"> — The signatory's IP address at the time of signing</w:t>
      </w:r>
    </w:p>
    <w:p w14:paraId="7332DB37" w14:textId="77777777" w:rsidR="00000000" w:rsidRDefault="00000000">
      <w:pPr>
        <w:numPr>
          <w:ilvl w:val="0"/>
          <w:numId w:val="17"/>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User Agent</w:t>
      </w:r>
      <w:r>
        <w:rPr>
          <w:rFonts w:ascii="Segoe UI" w:eastAsia="Times New Roman" w:hAnsi="Segoe UI" w:cs="Segoe UI"/>
          <w:color w:val="1A1F2B"/>
          <w:sz w:val="22"/>
          <w:szCs w:val="22"/>
          <w:lang w:val="en"/>
        </w:rPr>
        <w:t xml:space="preserve"> — The browser/device information</w:t>
      </w:r>
    </w:p>
    <w:p w14:paraId="0110CCF6" w14:textId="77777777" w:rsidR="00000000" w:rsidRDefault="00000000">
      <w:pPr>
        <w:numPr>
          <w:ilvl w:val="0"/>
          <w:numId w:val="17"/>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Document Hash</w:t>
      </w:r>
      <w:r>
        <w:rPr>
          <w:rFonts w:ascii="Segoe UI" w:eastAsia="Times New Roman" w:hAnsi="Segoe UI" w:cs="Segoe UI"/>
          <w:color w:val="1A1F2B"/>
          <w:sz w:val="22"/>
          <w:szCs w:val="22"/>
          <w:lang w:val="en"/>
        </w:rPr>
        <w:t xml:space="preserve"> — SHA-256 hash of the document at the moment of signing, computed client-side and verified server-side</w:t>
      </w:r>
    </w:p>
    <w:p w14:paraId="7C93B621" w14:textId="77777777" w:rsidR="00000000" w:rsidRDefault="00000000">
      <w:pPr>
        <w:shd w:val="clear" w:color="auto" w:fill="F0F6FC"/>
        <w:divId w:val="712851583"/>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Tamper Detection</w:t>
      </w:r>
    </w:p>
    <w:p w14:paraId="49BF1C1B" w14:textId="77777777" w:rsidR="00000000" w:rsidRDefault="00000000">
      <w:pPr>
        <w:shd w:val="clear" w:color="auto" w:fill="F0F6FC"/>
        <w:divId w:val="1834449230"/>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The document hash captured at signing is compared against the hash stored at request creation. If the hashes do not match, the signing is rejected, as it indicates the document has been modified after the signature was requested. This provides tamper-evidence as required by ECTA. </w:t>
      </w:r>
    </w:p>
    <w:p w14:paraId="43A61073"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6.5 Verification and Storage</w:t>
      </w:r>
    </w:p>
    <w:p w14:paraId="54D1E10B"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Upon submission of the signature payload, the server performs the following operations: </w:t>
      </w:r>
    </w:p>
    <w:p w14:paraId="12B357F6" w14:textId="77777777" w:rsidR="00000000" w:rsidRDefault="00000000">
      <w:pPr>
        <w:numPr>
          <w:ilvl w:val="0"/>
          <w:numId w:val="1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Hash Verification</w:t>
      </w:r>
      <w:r>
        <w:rPr>
          <w:rFonts w:ascii="Segoe UI" w:eastAsia="Times New Roman" w:hAnsi="Segoe UI" w:cs="Segoe UI"/>
          <w:color w:val="1A1F2B"/>
          <w:sz w:val="22"/>
          <w:szCs w:val="22"/>
          <w:lang w:val="en"/>
        </w:rPr>
        <w:t xml:space="preserve"> — The submitted document hash is compared against the </w:t>
      </w:r>
      <w:r>
        <w:rPr>
          <w:rStyle w:val="HTMLCode"/>
          <w:color w:val="1A1F2B"/>
          <w:lang w:val="en"/>
        </w:rPr>
        <w:t>DocumentHashAtCreation</w:t>
      </w:r>
      <w:r>
        <w:rPr>
          <w:rFonts w:ascii="Segoe UI" w:eastAsia="Times New Roman" w:hAnsi="Segoe UI" w:cs="Segoe UI"/>
          <w:color w:val="1A1F2B"/>
          <w:sz w:val="22"/>
          <w:szCs w:val="22"/>
          <w:lang w:val="en"/>
        </w:rPr>
        <w:t xml:space="preserve"> on the SignatureRequest. Mismatches are rejected.</w:t>
      </w:r>
    </w:p>
    <w:p w14:paraId="0542409A" w14:textId="77777777" w:rsidR="00000000" w:rsidRDefault="00000000">
      <w:pPr>
        <w:numPr>
          <w:ilvl w:val="0"/>
          <w:numId w:val="1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DigitalSignature Record</w:t>
      </w:r>
      <w:r>
        <w:rPr>
          <w:rFonts w:ascii="Segoe UI" w:eastAsia="Times New Roman" w:hAnsi="Segoe UI" w:cs="Segoe UI"/>
          <w:color w:val="1A1F2B"/>
          <w:sz w:val="22"/>
          <w:szCs w:val="22"/>
          <w:lang w:val="en"/>
        </w:rPr>
        <w:t xml:space="preserve"> — A new </w:t>
      </w:r>
      <w:r>
        <w:rPr>
          <w:rStyle w:val="HTMLCode"/>
          <w:color w:val="1A1F2B"/>
          <w:lang w:val="en"/>
        </w:rPr>
        <w:t>DigitalSignature</w:t>
      </w:r>
      <w:r>
        <w:rPr>
          <w:rFonts w:ascii="Segoe UI" w:eastAsia="Times New Roman" w:hAnsi="Segoe UI" w:cs="Segoe UI"/>
          <w:color w:val="1A1F2B"/>
          <w:sz w:val="22"/>
          <w:szCs w:val="22"/>
          <w:lang w:val="en"/>
        </w:rPr>
        <w:t xml:space="preserve"> record is created, storing the signature image (PNG), the SHA-256 hash, the signatory's identity, IP address, user agent, and timestamp.</w:t>
      </w:r>
    </w:p>
    <w:p w14:paraId="59B50B51" w14:textId="77777777" w:rsidR="00000000" w:rsidRDefault="00000000">
      <w:pPr>
        <w:numPr>
          <w:ilvl w:val="0"/>
          <w:numId w:val="1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PDF Embedding</w:t>
      </w:r>
      <w:r>
        <w:rPr>
          <w:rFonts w:ascii="Segoe UI" w:eastAsia="Times New Roman" w:hAnsi="Segoe UI" w:cs="Segoe UI"/>
          <w:color w:val="1A1F2B"/>
          <w:sz w:val="22"/>
          <w:szCs w:val="22"/>
          <w:lang w:val="en"/>
        </w:rPr>
        <w:t xml:space="preserve"> — The signature image is embedded into the letter PDF at the designated signature position, producing the final signed document.</w:t>
      </w:r>
    </w:p>
    <w:p w14:paraId="1180052F" w14:textId="77777777" w:rsidR="00000000" w:rsidRDefault="00000000">
      <w:pPr>
        <w:numPr>
          <w:ilvl w:val="0"/>
          <w:numId w:val="1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Document Storage</w:t>
      </w:r>
      <w:r>
        <w:rPr>
          <w:rFonts w:ascii="Segoe UI" w:eastAsia="Times New Roman" w:hAnsi="Segoe UI" w:cs="Segoe UI"/>
          <w:color w:val="1A1F2B"/>
          <w:sz w:val="22"/>
          <w:szCs w:val="22"/>
          <w:lang w:val="en"/>
        </w:rPr>
        <w:t xml:space="preserve"> — The signed PDF is stored (Azure Blob Storage or filesystem), and the </w:t>
      </w:r>
      <w:r>
        <w:rPr>
          <w:rStyle w:val="HTMLCode"/>
          <w:color w:val="1A1F2B"/>
          <w:lang w:val="en"/>
        </w:rPr>
        <w:t>UploadedDocument</w:t>
      </w:r>
      <w:r>
        <w:rPr>
          <w:rFonts w:ascii="Segoe UI" w:eastAsia="Times New Roman" w:hAnsi="Segoe UI" w:cs="Segoe UI"/>
          <w:color w:val="1A1F2B"/>
          <w:sz w:val="22"/>
          <w:szCs w:val="22"/>
          <w:lang w:val="en"/>
        </w:rPr>
        <w:t xml:space="preserve"> record is updated with the new </w:t>
      </w:r>
      <w:r>
        <w:rPr>
          <w:rStyle w:val="HTMLCode"/>
          <w:color w:val="1A1F2B"/>
          <w:lang w:val="en"/>
        </w:rPr>
        <w:t>BlobPath</w:t>
      </w:r>
      <w:r>
        <w:rPr>
          <w:rFonts w:ascii="Segoe UI" w:eastAsia="Times New Roman" w:hAnsi="Segoe UI" w:cs="Segoe UI"/>
          <w:color w:val="1A1F2B"/>
          <w:sz w:val="22"/>
          <w:szCs w:val="22"/>
          <w:lang w:val="en"/>
        </w:rPr>
        <w:t>.</w:t>
      </w:r>
    </w:p>
    <w:p w14:paraId="77539EFB" w14:textId="77777777" w:rsidR="00000000" w:rsidRDefault="00000000">
      <w:pPr>
        <w:numPr>
          <w:ilvl w:val="0"/>
          <w:numId w:val="18"/>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LetterIssuance Update</w:t>
      </w:r>
      <w:r>
        <w:rPr>
          <w:rFonts w:ascii="Segoe UI" w:eastAsia="Times New Roman" w:hAnsi="Segoe UI" w:cs="Segoe UI"/>
          <w:color w:val="1A1F2B"/>
          <w:sz w:val="22"/>
          <w:szCs w:val="22"/>
          <w:lang w:val="en"/>
        </w:rPr>
        <w:t xml:space="preserve"> — The </w:t>
      </w:r>
      <w:r>
        <w:rPr>
          <w:rStyle w:val="HTMLCode"/>
          <w:color w:val="1A1F2B"/>
          <w:lang w:val="en"/>
        </w:rPr>
        <w:t>LetterIssuance</w:t>
      </w:r>
      <w:r>
        <w:rPr>
          <w:rFonts w:ascii="Segoe UI" w:eastAsia="Times New Roman" w:hAnsi="Segoe UI" w:cs="Segoe UI"/>
          <w:color w:val="1A1F2B"/>
          <w:sz w:val="22"/>
          <w:szCs w:val="22"/>
          <w:lang w:val="en"/>
        </w:rPr>
        <w:t xml:space="preserve"> record is updated with </w:t>
      </w:r>
      <w:r>
        <w:rPr>
          <w:rStyle w:val="HTMLCode"/>
          <w:color w:val="1A1F2B"/>
          <w:lang w:val="en"/>
        </w:rPr>
        <w:t>SignedDate</w:t>
      </w:r>
      <w:r>
        <w:rPr>
          <w:rFonts w:ascii="Segoe UI" w:eastAsia="Times New Roman" w:hAnsi="Segoe UI" w:cs="Segoe UI"/>
          <w:color w:val="1A1F2B"/>
          <w:sz w:val="22"/>
          <w:szCs w:val="22"/>
          <w:lang w:val="en"/>
        </w:rPr>
        <w:t xml:space="preserve">, </w:t>
      </w:r>
      <w:r>
        <w:rPr>
          <w:rStyle w:val="HTMLCode"/>
          <w:color w:val="1A1F2B"/>
          <w:lang w:val="en"/>
        </w:rPr>
        <w:t>SignedById</w:t>
      </w:r>
      <w:r>
        <w:rPr>
          <w:rFonts w:ascii="Segoe UI" w:eastAsia="Times New Roman" w:hAnsi="Segoe UI" w:cs="Segoe UI"/>
          <w:color w:val="1A1F2B"/>
          <w:sz w:val="22"/>
          <w:szCs w:val="22"/>
          <w:lang w:val="en"/>
        </w:rPr>
        <w:t xml:space="preserve">, </w:t>
      </w:r>
      <w:r>
        <w:rPr>
          <w:rStyle w:val="HTMLCode"/>
          <w:color w:val="1A1F2B"/>
          <w:lang w:val="en"/>
        </w:rPr>
        <w:t>DigitalSignatureId</w:t>
      </w:r>
      <w:r>
        <w:rPr>
          <w:rFonts w:ascii="Segoe UI" w:eastAsia="Times New Roman" w:hAnsi="Segoe UI" w:cs="Segoe UI"/>
          <w:color w:val="1A1F2B"/>
          <w:sz w:val="22"/>
          <w:szCs w:val="22"/>
          <w:lang w:val="en"/>
        </w:rPr>
        <w:t xml:space="preserve">, and </w:t>
      </w:r>
      <w:r>
        <w:rPr>
          <w:rStyle w:val="HTMLCode"/>
          <w:color w:val="1A1F2B"/>
          <w:lang w:val="en"/>
        </w:rPr>
        <w:t>Status</w:t>
      </w:r>
      <w:r>
        <w:rPr>
          <w:rFonts w:ascii="Segoe UI" w:eastAsia="Times New Roman" w:hAnsi="Segoe UI" w:cs="Segoe UI"/>
          <w:color w:val="1A1F2B"/>
          <w:sz w:val="22"/>
          <w:szCs w:val="22"/>
          <w:lang w:val="en"/>
        </w:rPr>
        <w:t xml:space="preserve"> transitions to </w:t>
      </w:r>
      <w:r>
        <w:rPr>
          <w:rStyle w:val="HTMLCode"/>
          <w:color w:val="1A1F2B"/>
          <w:lang w:val="en"/>
        </w:rPr>
        <w:t>Signed</w:t>
      </w:r>
      <w:r>
        <w:rPr>
          <w:rFonts w:ascii="Segoe UI" w:eastAsia="Times New Roman" w:hAnsi="Segoe UI" w:cs="Segoe UI"/>
          <w:color w:val="1A1F2B"/>
          <w:sz w:val="22"/>
          <w:szCs w:val="22"/>
          <w:lang w:val="en"/>
        </w:rPr>
        <w:t>.</w:t>
      </w:r>
    </w:p>
    <w:p w14:paraId="5E070B40"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6.6 Post-Signing</w:t>
      </w:r>
    </w:p>
    <w:p w14:paraId="4F47910F"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Once the letter is signed and the LetterIssuance record is updated, the following post-signing actions are triggered: </w:t>
      </w:r>
    </w:p>
    <w:p w14:paraId="0794BB21" w14:textId="77777777" w:rsidR="00000000" w:rsidRDefault="00000000">
      <w:pPr>
        <w:numPr>
          <w:ilvl w:val="0"/>
          <w:numId w:val="19"/>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lastRenderedPageBreak/>
        <w:t xml:space="preserve">The </w:t>
      </w:r>
      <w:r>
        <w:rPr>
          <w:rStyle w:val="HTMLCode"/>
          <w:color w:val="1A1F2B"/>
          <w:lang w:val="en"/>
        </w:rPr>
        <w:t>NotificationService</w:t>
      </w:r>
      <w:r>
        <w:rPr>
          <w:rFonts w:ascii="Segoe UI" w:eastAsia="Times New Roman" w:hAnsi="Segoe UI" w:cs="Segoe UI"/>
          <w:color w:val="1A1F2B"/>
          <w:sz w:val="22"/>
          <w:szCs w:val="22"/>
          <w:lang w:val="en"/>
        </w:rPr>
        <w:t xml:space="preserve"> raises a </w:t>
      </w:r>
      <w:r>
        <w:rPr>
          <w:rStyle w:val="HTMLCode"/>
          <w:color w:val="1A1F2B"/>
          <w:lang w:val="en"/>
        </w:rPr>
        <w:t>LetterSignedEvent</w:t>
      </w:r>
      <w:r>
        <w:rPr>
          <w:rFonts w:ascii="Segoe UI" w:eastAsia="Times New Roman" w:hAnsi="Segoe UI" w:cs="Segoe UI"/>
          <w:color w:val="1A1F2B"/>
          <w:sz w:val="22"/>
          <w:szCs w:val="22"/>
          <w:lang w:val="en"/>
        </w:rPr>
        <w:t xml:space="preserve"> domain event, triggering notifications to relevant parties (the case validator, the water user, and any watchers on the case).</w:t>
      </w:r>
    </w:p>
    <w:p w14:paraId="6FDB89D2" w14:textId="77777777" w:rsidR="00000000" w:rsidRDefault="00000000">
      <w:pPr>
        <w:numPr>
          <w:ilvl w:val="0"/>
          <w:numId w:val="19"/>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 xml:space="preserve">The </w:t>
      </w:r>
      <w:r>
        <w:rPr>
          <w:rStyle w:val="HTMLCode"/>
          <w:color w:val="1A1F2B"/>
          <w:lang w:val="en"/>
        </w:rPr>
        <w:t>LetterService.IssueLetter()</w:t>
      </w:r>
      <w:r>
        <w:rPr>
          <w:rFonts w:ascii="Segoe UI" w:eastAsia="Times New Roman" w:hAnsi="Segoe UI" w:cs="Segoe UI"/>
          <w:color w:val="1A1F2B"/>
          <w:sz w:val="22"/>
          <w:szCs w:val="22"/>
          <w:lang w:val="en"/>
        </w:rPr>
        <w:t xml:space="preserve"> method is invoked to dispatch the signed letter via the appropriate delivery method: </w:t>
      </w:r>
    </w:p>
    <w:p w14:paraId="54433D44" w14:textId="77777777" w:rsidR="00000000" w:rsidRDefault="00000000">
      <w:pPr>
        <w:numPr>
          <w:ilvl w:val="1"/>
          <w:numId w:val="19"/>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Post</w:t>
      </w:r>
      <w:r>
        <w:rPr>
          <w:rFonts w:ascii="Segoe UI" w:eastAsia="Times New Roman" w:hAnsi="Segoe UI" w:cs="Segoe UI"/>
          <w:color w:val="1A1F2B"/>
          <w:sz w:val="22"/>
          <w:szCs w:val="22"/>
          <w:lang w:val="en"/>
        </w:rPr>
        <w:t xml:space="preserve"> — Registered post with tracking number recorded in </w:t>
      </w:r>
      <w:r>
        <w:rPr>
          <w:rStyle w:val="HTMLCode"/>
          <w:color w:val="1A1F2B"/>
          <w:lang w:val="en"/>
        </w:rPr>
        <w:t>PostalRegistrationNumber</w:t>
      </w:r>
    </w:p>
    <w:p w14:paraId="32923CD6" w14:textId="77777777" w:rsidR="00000000" w:rsidRDefault="00000000">
      <w:pPr>
        <w:numPr>
          <w:ilvl w:val="1"/>
          <w:numId w:val="19"/>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Email</w:t>
      </w:r>
      <w:r>
        <w:rPr>
          <w:rFonts w:ascii="Segoe UI" w:eastAsia="Times New Roman" w:hAnsi="Segoe UI" w:cs="Segoe UI"/>
          <w:color w:val="1A1F2B"/>
          <w:sz w:val="22"/>
          <w:szCs w:val="22"/>
          <w:lang w:val="en"/>
        </w:rPr>
        <w:t xml:space="preserve"> — Electronic delivery to the water user's registered email address with the signed PDF attached</w:t>
      </w:r>
    </w:p>
    <w:p w14:paraId="2F349D22" w14:textId="77777777" w:rsidR="00000000" w:rsidRDefault="00000000">
      <w:pPr>
        <w:numPr>
          <w:ilvl w:val="1"/>
          <w:numId w:val="19"/>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In-Person</w:t>
      </w:r>
      <w:r>
        <w:rPr>
          <w:rFonts w:ascii="Segoe UI" w:eastAsia="Times New Roman" w:hAnsi="Segoe UI" w:cs="Segoe UI"/>
          <w:color w:val="1A1F2B"/>
          <w:sz w:val="22"/>
          <w:szCs w:val="22"/>
          <w:lang w:val="en"/>
        </w:rPr>
        <w:t xml:space="preserve"> — Flagged for hand delivery (mandatory for Letter 1); the serving official is recorded</w:t>
      </w:r>
    </w:p>
    <w:p w14:paraId="107CEE75" w14:textId="77777777" w:rsidR="00000000" w:rsidRDefault="00000000">
      <w:pPr>
        <w:numPr>
          <w:ilvl w:val="1"/>
          <w:numId w:val="19"/>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Other</w:t>
      </w:r>
      <w:r>
        <w:rPr>
          <w:rFonts w:ascii="Segoe UI" w:eastAsia="Times New Roman" w:hAnsi="Segoe UI" w:cs="Segoe UI"/>
          <w:color w:val="1A1F2B"/>
          <w:sz w:val="22"/>
          <w:szCs w:val="22"/>
          <w:lang w:val="en"/>
        </w:rPr>
        <w:t xml:space="preserve"> — Alternative delivery methods as determined by the responsible authority</w:t>
      </w:r>
    </w:p>
    <w:p w14:paraId="23D4AE76" w14:textId="77777777" w:rsidR="00000000" w:rsidRDefault="00000000">
      <w:pPr>
        <w:numPr>
          <w:ilvl w:val="0"/>
          <w:numId w:val="19"/>
        </w:numPr>
        <w:spacing w:before="100" w:beforeAutospacing="1" w:after="100" w:afterAutospacing="1"/>
        <w:rPr>
          <w:rFonts w:ascii="Segoe UI" w:eastAsia="Times New Roman" w:hAnsi="Segoe UI" w:cs="Segoe UI"/>
          <w:color w:val="1A1F2B"/>
          <w:sz w:val="22"/>
          <w:szCs w:val="22"/>
          <w:lang w:val="en"/>
        </w:rPr>
      </w:pPr>
      <w:r>
        <w:rPr>
          <w:rFonts w:ascii="Segoe UI" w:eastAsia="Times New Roman" w:hAnsi="Segoe UI" w:cs="Segoe UI"/>
          <w:color w:val="1A1F2B"/>
          <w:sz w:val="22"/>
          <w:szCs w:val="22"/>
          <w:lang w:val="en"/>
        </w:rPr>
        <w:t xml:space="preserve">The workflow state transitions to the next appropriate state (e.g., </w:t>
      </w:r>
      <w:r>
        <w:rPr>
          <w:rStyle w:val="HTMLCode"/>
          <w:color w:val="1A1F2B"/>
          <w:lang w:val="en"/>
        </w:rPr>
        <w:t>L1_Signed</w:t>
      </w:r>
      <w:r>
        <w:rPr>
          <w:rFonts w:ascii="Segoe UI" w:eastAsia="Times New Roman" w:hAnsi="Segoe UI" w:cs="Segoe UI"/>
          <w:color w:val="1A1F2B"/>
          <w:sz w:val="22"/>
          <w:szCs w:val="22"/>
          <w:lang w:val="en"/>
        </w:rPr>
        <w:t xml:space="preserve"> → </w:t>
      </w:r>
      <w:r>
        <w:rPr>
          <w:rStyle w:val="HTMLCode"/>
          <w:color w:val="1A1F2B"/>
          <w:lang w:val="en"/>
        </w:rPr>
        <w:t>L1_Issued</w:t>
      </w:r>
      <w:r>
        <w:rPr>
          <w:rFonts w:ascii="Segoe UI" w:eastAsia="Times New Roman" w:hAnsi="Segoe UI" w:cs="Segoe UI"/>
          <w:color w:val="1A1F2B"/>
          <w:sz w:val="22"/>
          <w:szCs w:val="22"/>
          <w:lang w:val="en"/>
        </w:rPr>
        <w:t>).</w:t>
      </w:r>
    </w:p>
    <w:p w14:paraId="3135A1EF" w14:textId="77777777" w:rsidR="00000000" w:rsidRDefault="00000000">
      <w:pPr>
        <w:pStyle w:val="Heading2"/>
        <w:rPr>
          <w:rFonts w:ascii="Segoe UI" w:eastAsia="Times New Roman" w:hAnsi="Segoe UI" w:cs="Segoe UI"/>
          <w:lang w:val="en"/>
        </w:rPr>
      </w:pPr>
      <w:r>
        <w:rPr>
          <w:rFonts w:ascii="Segoe UI" w:eastAsia="Times New Roman" w:hAnsi="Segoe UI" w:cs="Segoe UI"/>
          <w:lang w:val="en"/>
        </w:rPr>
        <w:t>6.7 Legal Compliance</w:t>
      </w:r>
    </w:p>
    <w:p w14:paraId="71922916"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electronic signature implementation is designed to comply with the </w:t>
      </w:r>
      <w:r>
        <w:rPr>
          <w:rStyle w:val="Strong"/>
          <w:rFonts w:ascii="Segoe UI" w:hAnsi="Segoe UI" w:cs="Segoe UI"/>
          <w:color w:val="1A1F2B"/>
          <w:sz w:val="22"/>
          <w:szCs w:val="22"/>
          <w:lang w:val="en"/>
        </w:rPr>
        <w:t>Electronic Communications and Transactions Act (ECTA), Act 25 of 2002</w:t>
      </w:r>
      <w:r>
        <w:rPr>
          <w:rFonts w:ascii="Segoe UI" w:hAnsi="Segoe UI" w:cs="Segoe UI"/>
          <w:color w:val="1A1F2B"/>
          <w:sz w:val="22"/>
          <w:szCs w:val="22"/>
          <w:lang w:val="en"/>
        </w:rPr>
        <w:t xml:space="preserve">, which establishes the legal framework for electronic signatures in South Africa. Key compliance measures include: </w:t>
      </w:r>
    </w:p>
    <w:p w14:paraId="0F3F13FA" w14:textId="77777777" w:rsidR="00000000" w:rsidRDefault="00000000">
      <w:pPr>
        <w:numPr>
          <w:ilvl w:val="0"/>
          <w:numId w:val="20"/>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Identity Association</w:t>
      </w:r>
      <w:r>
        <w:rPr>
          <w:rFonts w:ascii="Segoe UI" w:eastAsia="Times New Roman" w:hAnsi="Segoe UI" w:cs="Segoe UI"/>
          <w:color w:val="1A1F2B"/>
          <w:sz w:val="22"/>
          <w:szCs w:val="22"/>
          <w:lang w:val="en"/>
        </w:rPr>
        <w:t xml:space="preserve"> — Each signature is linked to an authenticated user account (internal via ASP.NET Identity, external via the separate portal identity regime with mandatory MFA).</w:t>
      </w:r>
    </w:p>
    <w:p w14:paraId="01EE0F5A" w14:textId="77777777" w:rsidR="00000000" w:rsidRDefault="00000000">
      <w:pPr>
        <w:numPr>
          <w:ilvl w:val="0"/>
          <w:numId w:val="20"/>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Tamper Evidence</w:t>
      </w:r>
      <w:r>
        <w:rPr>
          <w:rFonts w:ascii="Segoe UI" w:eastAsia="Times New Roman" w:hAnsi="Segoe UI" w:cs="Segoe UI"/>
          <w:color w:val="1A1F2B"/>
          <w:sz w:val="22"/>
          <w:szCs w:val="22"/>
          <w:lang w:val="en"/>
        </w:rPr>
        <w:t xml:space="preserve"> — The </w:t>
      </w:r>
      <w:r>
        <w:rPr>
          <w:rStyle w:val="HTMLCode"/>
          <w:color w:val="1A1F2B"/>
          <w:lang w:val="en"/>
        </w:rPr>
        <w:t>DocumentHashAtSigning</w:t>
      </w:r>
      <w:r>
        <w:rPr>
          <w:rFonts w:ascii="Segoe UI" w:eastAsia="Times New Roman" w:hAnsi="Segoe UI" w:cs="Segoe UI"/>
          <w:color w:val="1A1F2B"/>
          <w:sz w:val="22"/>
          <w:szCs w:val="22"/>
          <w:lang w:val="en"/>
        </w:rPr>
        <w:t xml:space="preserve"> is permanently stored and can be compared against the current document hash at any future point. Any modification to the signed document is detectable.</w:t>
      </w:r>
    </w:p>
    <w:p w14:paraId="24CFA5A5" w14:textId="77777777" w:rsidR="00000000" w:rsidRDefault="00000000">
      <w:pPr>
        <w:numPr>
          <w:ilvl w:val="0"/>
          <w:numId w:val="20"/>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Intent to Sign</w:t>
      </w:r>
      <w:r>
        <w:rPr>
          <w:rFonts w:ascii="Segoe UI" w:eastAsia="Times New Roman" w:hAnsi="Segoe UI" w:cs="Segoe UI"/>
          <w:color w:val="1A1F2B"/>
          <w:sz w:val="22"/>
          <w:szCs w:val="22"/>
          <w:lang w:val="en"/>
        </w:rPr>
        <w:t xml:space="preserve"> — The signing interface requires an explicit action (drawing a signature and clicking "Confirm"), with clear indication of what is being signed and the legal implications.</w:t>
      </w:r>
    </w:p>
    <w:p w14:paraId="4D127C64" w14:textId="77777777" w:rsidR="00000000" w:rsidRDefault="00000000">
      <w:pPr>
        <w:numPr>
          <w:ilvl w:val="0"/>
          <w:numId w:val="20"/>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Audit Trail</w:t>
      </w:r>
      <w:r>
        <w:rPr>
          <w:rFonts w:ascii="Segoe UI" w:eastAsia="Times New Roman" w:hAnsi="Segoe UI" w:cs="Segoe UI"/>
          <w:color w:val="1A1F2B"/>
          <w:sz w:val="22"/>
          <w:szCs w:val="22"/>
          <w:lang w:val="en"/>
        </w:rPr>
        <w:t xml:space="preserve"> — The complete signing process is logged: request creation, notification delivery, signature capture (with IP, user agent, timestamp), verification, and PDF embedding. All audit records are immutable.</w:t>
      </w:r>
    </w:p>
    <w:p w14:paraId="593AE3D0" w14:textId="77777777" w:rsidR="00000000" w:rsidRDefault="00000000">
      <w:pPr>
        <w:numPr>
          <w:ilvl w:val="0"/>
          <w:numId w:val="20"/>
        </w:numPr>
        <w:spacing w:before="100" w:beforeAutospacing="1" w:after="100" w:afterAutospacing="1"/>
        <w:rPr>
          <w:rFonts w:ascii="Segoe UI" w:eastAsia="Times New Roman" w:hAnsi="Segoe UI" w:cs="Segoe UI"/>
          <w:color w:val="1A1F2B"/>
          <w:sz w:val="22"/>
          <w:szCs w:val="22"/>
          <w:lang w:val="en"/>
        </w:rPr>
      </w:pPr>
      <w:r>
        <w:rPr>
          <w:rStyle w:val="Strong"/>
          <w:rFonts w:ascii="Segoe UI" w:eastAsia="Times New Roman" w:hAnsi="Segoe UI" w:cs="Segoe UI"/>
          <w:color w:val="1A1F2B"/>
          <w:sz w:val="22"/>
          <w:szCs w:val="22"/>
          <w:lang w:val="en"/>
        </w:rPr>
        <w:t>Non-Repudiation</w:t>
      </w:r>
      <w:r>
        <w:rPr>
          <w:rFonts w:ascii="Segoe UI" w:eastAsia="Times New Roman" w:hAnsi="Segoe UI" w:cs="Segoe UI"/>
          <w:color w:val="1A1F2B"/>
          <w:sz w:val="22"/>
          <w:szCs w:val="22"/>
          <w:lang w:val="en"/>
        </w:rPr>
        <w:t xml:space="preserve"> — The combination of authenticated identity, captured biometric-style signature image, IP address, device information, and timestamped hash chain provides strong evidence against repudiation.</w:t>
      </w:r>
    </w:p>
    <w:p w14:paraId="43429A73"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t>7. Design Patterns Summary</w:t>
      </w:r>
    </w:p>
    <w:p w14:paraId="6D2BF93A"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following table summarises the core design patterns employed across the workflow and process architecture: </w:t>
      </w:r>
    </w:p>
    <w:tbl>
      <w:tblPr>
        <w:tblW w:w="5000" w:type="pct"/>
        <w:tblCellMar>
          <w:top w:w="15" w:type="dxa"/>
          <w:left w:w="15" w:type="dxa"/>
          <w:bottom w:w="15" w:type="dxa"/>
          <w:right w:w="15" w:type="dxa"/>
        </w:tblCellMar>
        <w:tblLook w:val="04A0" w:firstRow="1" w:lastRow="0" w:firstColumn="1" w:lastColumn="0" w:noHBand="0" w:noVBand="1"/>
      </w:tblPr>
      <w:tblGrid>
        <w:gridCol w:w="1544"/>
        <w:gridCol w:w="4769"/>
        <w:gridCol w:w="3047"/>
      </w:tblGrid>
      <w:tr w:rsidR="00000000" w14:paraId="127591D9" w14:textId="77777777">
        <w:tc>
          <w:tcPr>
            <w:tcW w:w="0" w:type="auto"/>
            <w:shd w:val="clear" w:color="auto" w:fill="002855"/>
            <w:vAlign w:val="center"/>
            <w:hideMark/>
          </w:tcPr>
          <w:p w14:paraId="4B0522E7"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lastRenderedPageBreak/>
              <w:t>Pattern</w:t>
            </w:r>
          </w:p>
        </w:tc>
        <w:tc>
          <w:tcPr>
            <w:tcW w:w="0" w:type="auto"/>
            <w:shd w:val="clear" w:color="auto" w:fill="002855"/>
            <w:vAlign w:val="center"/>
            <w:hideMark/>
          </w:tcPr>
          <w:p w14:paraId="1F18C2EC"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Application</w:t>
            </w:r>
          </w:p>
        </w:tc>
        <w:tc>
          <w:tcPr>
            <w:tcW w:w="0" w:type="auto"/>
            <w:shd w:val="clear" w:color="auto" w:fill="002855"/>
            <w:vAlign w:val="center"/>
            <w:hideMark/>
          </w:tcPr>
          <w:p w14:paraId="13FAAAC2" w14:textId="77777777" w:rsidR="00000000" w:rsidRDefault="00000000">
            <w:pP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Component</w:t>
            </w:r>
          </w:p>
        </w:tc>
      </w:tr>
      <w:tr w:rsidR="00000000" w14:paraId="3F6A859C" w14:textId="77777777">
        <w:tc>
          <w:tcPr>
            <w:tcW w:w="0" w:type="auto"/>
            <w:tcBorders>
              <w:bottom w:val="single" w:sz="6" w:space="0" w:color="E2E6EA"/>
            </w:tcBorders>
            <w:vAlign w:val="center"/>
            <w:hideMark/>
          </w:tcPr>
          <w:p w14:paraId="4368DC3E"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State Machine</w:t>
            </w:r>
          </w:p>
        </w:tc>
        <w:tc>
          <w:tcPr>
            <w:tcW w:w="0" w:type="auto"/>
            <w:tcBorders>
              <w:bottom w:val="single" w:sz="6" w:space="0" w:color="E2E6EA"/>
            </w:tcBorders>
            <w:vAlign w:val="center"/>
            <w:hideMark/>
          </w:tcPr>
          <w:p w14:paraId="28D60905"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Governs the lifecycle of every FileMaster case through defined states and transitions. Ensures deterministic, auditable progression through control points.</w:t>
            </w:r>
          </w:p>
        </w:tc>
        <w:tc>
          <w:tcPr>
            <w:tcW w:w="0" w:type="auto"/>
            <w:tcBorders>
              <w:bottom w:val="single" w:sz="6" w:space="0" w:color="E2E6EA"/>
            </w:tcBorders>
            <w:vAlign w:val="center"/>
            <w:hideMark/>
          </w:tcPr>
          <w:p w14:paraId="3624DE22" w14:textId="77777777" w:rsidR="00000000" w:rsidRDefault="00000000">
            <w:pPr>
              <w:rPr>
                <w:rFonts w:ascii="Segoe UI" w:eastAsia="Times New Roman" w:hAnsi="Segoe UI" w:cs="Segoe UI"/>
                <w:color w:val="1A1F2B"/>
                <w:sz w:val="20"/>
                <w:szCs w:val="20"/>
              </w:rPr>
            </w:pPr>
            <w:r>
              <w:rPr>
                <w:rStyle w:val="HTMLCode"/>
                <w:color w:val="1A1F2B"/>
              </w:rPr>
              <w:t>WorkflowEngine</w:t>
            </w:r>
          </w:p>
        </w:tc>
      </w:tr>
      <w:tr w:rsidR="00000000" w14:paraId="14688211" w14:textId="77777777">
        <w:tc>
          <w:tcPr>
            <w:tcW w:w="0" w:type="auto"/>
            <w:tcBorders>
              <w:bottom w:val="single" w:sz="6" w:space="0" w:color="E2E6EA"/>
            </w:tcBorders>
            <w:vAlign w:val="center"/>
            <w:hideMark/>
          </w:tcPr>
          <w:p w14:paraId="7494818B"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Guard / Specification</w:t>
            </w:r>
          </w:p>
        </w:tc>
        <w:tc>
          <w:tcPr>
            <w:tcW w:w="0" w:type="auto"/>
            <w:tcBorders>
              <w:bottom w:val="single" w:sz="6" w:space="0" w:color="E2E6EA"/>
            </w:tcBorders>
            <w:vAlign w:val="center"/>
            <w:hideMark/>
          </w:tcPr>
          <w:p w14:paraId="003AA377"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Each state transition is protected by composable guard objects that verify preconditions (data presence, role authorisation, business rules) before permitting advancement.</w:t>
            </w:r>
          </w:p>
        </w:tc>
        <w:tc>
          <w:tcPr>
            <w:tcW w:w="0" w:type="auto"/>
            <w:tcBorders>
              <w:bottom w:val="single" w:sz="6" w:space="0" w:color="E2E6EA"/>
            </w:tcBorders>
            <w:vAlign w:val="center"/>
            <w:hideMark/>
          </w:tcPr>
          <w:p w14:paraId="649DCA58" w14:textId="77777777" w:rsidR="00000000" w:rsidRDefault="00000000">
            <w:pPr>
              <w:rPr>
                <w:rFonts w:ascii="Segoe UI" w:eastAsia="Times New Roman" w:hAnsi="Segoe UI" w:cs="Segoe UI"/>
                <w:color w:val="1A1F2B"/>
                <w:sz w:val="20"/>
                <w:szCs w:val="20"/>
              </w:rPr>
            </w:pPr>
            <w:r>
              <w:rPr>
                <w:rStyle w:val="HTMLCode"/>
                <w:color w:val="1A1F2B"/>
              </w:rPr>
              <w:t>ITransitionGuard</w:t>
            </w:r>
          </w:p>
        </w:tc>
      </w:tr>
      <w:tr w:rsidR="00000000" w14:paraId="402A9F38" w14:textId="77777777">
        <w:tc>
          <w:tcPr>
            <w:tcW w:w="0" w:type="auto"/>
            <w:tcBorders>
              <w:bottom w:val="single" w:sz="6" w:space="0" w:color="E2E6EA"/>
            </w:tcBorders>
            <w:vAlign w:val="center"/>
            <w:hideMark/>
          </w:tcPr>
          <w:p w14:paraId="08527DDA"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Repository</w:t>
            </w:r>
          </w:p>
        </w:tc>
        <w:tc>
          <w:tcPr>
            <w:tcW w:w="0" w:type="auto"/>
            <w:tcBorders>
              <w:bottom w:val="single" w:sz="6" w:space="0" w:color="E2E6EA"/>
            </w:tcBorders>
            <w:vAlign w:val="center"/>
            <w:hideMark/>
          </w:tcPr>
          <w:p w14:paraId="5FB2C619"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Abstracts all data access behind interface contracts, enabling testability and separation of the data layer from business logic.</w:t>
            </w:r>
          </w:p>
        </w:tc>
        <w:tc>
          <w:tcPr>
            <w:tcW w:w="0" w:type="auto"/>
            <w:tcBorders>
              <w:bottom w:val="single" w:sz="6" w:space="0" w:color="E2E6EA"/>
            </w:tcBorders>
            <w:vAlign w:val="center"/>
            <w:hideMark/>
          </w:tcPr>
          <w:p w14:paraId="686685DF" w14:textId="77777777" w:rsidR="00000000" w:rsidRDefault="00000000">
            <w:pPr>
              <w:rPr>
                <w:rFonts w:ascii="Segoe UI" w:eastAsia="Times New Roman" w:hAnsi="Segoe UI" w:cs="Segoe UI"/>
                <w:color w:val="1A1F2B"/>
                <w:sz w:val="20"/>
                <w:szCs w:val="20"/>
              </w:rPr>
            </w:pPr>
            <w:r>
              <w:rPr>
                <w:rStyle w:val="HTMLCode"/>
                <w:color w:val="1A1F2B"/>
              </w:rPr>
              <w:t>IPropertyInterface</w:t>
            </w:r>
            <w:r>
              <w:rPr>
                <w:rFonts w:ascii="Segoe UI" w:eastAsia="Times New Roman" w:hAnsi="Segoe UI" w:cs="Segoe UI"/>
                <w:color w:val="1A1F2B"/>
                <w:sz w:val="20"/>
                <w:szCs w:val="20"/>
              </w:rPr>
              <w:t xml:space="preserve">, </w:t>
            </w:r>
            <w:r>
              <w:rPr>
                <w:rStyle w:val="HTMLCode"/>
                <w:color w:val="1A1F2B"/>
              </w:rPr>
              <w:t>IAddress</w:t>
            </w:r>
            <w:r>
              <w:rPr>
                <w:rFonts w:ascii="Segoe UI" w:eastAsia="Times New Roman" w:hAnsi="Segoe UI" w:cs="Segoe UI"/>
                <w:color w:val="1A1F2B"/>
                <w:sz w:val="20"/>
                <w:szCs w:val="20"/>
              </w:rPr>
              <w:t xml:space="preserve">, </w:t>
            </w:r>
            <w:r>
              <w:rPr>
                <w:rStyle w:val="HTMLCode"/>
                <w:color w:val="1A1F2B"/>
              </w:rPr>
              <w:t>IForestation</w:t>
            </w:r>
            <w:r>
              <w:rPr>
                <w:rFonts w:ascii="Segoe UI" w:eastAsia="Times New Roman" w:hAnsi="Segoe UI" w:cs="Segoe UI"/>
                <w:color w:val="1A1F2B"/>
                <w:sz w:val="20"/>
                <w:szCs w:val="20"/>
              </w:rPr>
              <w:t>, etc.</w:t>
            </w:r>
          </w:p>
        </w:tc>
      </w:tr>
      <w:tr w:rsidR="00000000" w14:paraId="7A2C84CC" w14:textId="77777777">
        <w:tc>
          <w:tcPr>
            <w:tcW w:w="0" w:type="auto"/>
            <w:tcBorders>
              <w:bottom w:val="single" w:sz="6" w:space="0" w:color="E2E6EA"/>
            </w:tcBorders>
            <w:vAlign w:val="center"/>
            <w:hideMark/>
          </w:tcPr>
          <w:p w14:paraId="3E2AEDB4"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Strategy</w:t>
            </w:r>
          </w:p>
        </w:tc>
        <w:tc>
          <w:tcPr>
            <w:tcW w:w="0" w:type="auto"/>
            <w:tcBorders>
              <w:bottom w:val="single" w:sz="6" w:space="0" w:color="E2E6EA"/>
            </w:tcBorders>
            <w:vAlign w:val="center"/>
            <w:hideMark/>
          </w:tcPr>
          <w:p w14:paraId="0FEDDB60"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Letter delivery methods (Post, Email, In-Person, Other) are implemented as interchangeable strategies, selected at runtime based on the letter type and case requirements.</w:t>
            </w:r>
          </w:p>
        </w:tc>
        <w:tc>
          <w:tcPr>
            <w:tcW w:w="0" w:type="auto"/>
            <w:tcBorders>
              <w:bottom w:val="single" w:sz="6" w:space="0" w:color="E2E6EA"/>
            </w:tcBorders>
            <w:vAlign w:val="center"/>
            <w:hideMark/>
          </w:tcPr>
          <w:p w14:paraId="3305A234" w14:textId="77777777" w:rsidR="00000000" w:rsidRDefault="00000000">
            <w:pPr>
              <w:rPr>
                <w:rFonts w:ascii="Segoe UI" w:eastAsia="Times New Roman" w:hAnsi="Segoe UI" w:cs="Segoe UI"/>
                <w:color w:val="1A1F2B"/>
                <w:sz w:val="20"/>
                <w:szCs w:val="20"/>
              </w:rPr>
            </w:pPr>
            <w:r>
              <w:rPr>
                <w:rStyle w:val="HTMLCode"/>
                <w:color w:val="1A1F2B"/>
              </w:rPr>
              <w:t>LetterService</w:t>
            </w:r>
            <w:r>
              <w:rPr>
                <w:rFonts w:ascii="Segoe UI" w:eastAsia="Times New Roman" w:hAnsi="Segoe UI" w:cs="Segoe UI"/>
                <w:color w:val="1A1F2B"/>
                <w:sz w:val="20"/>
                <w:szCs w:val="20"/>
              </w:rPr>
              <w:t xml:space="preserve"> delivery methods</w:t>
            </w:r>
          </w:p>
        </w:tc>
      </w:tr>
      <w:tr w:rsidR="00000000" w14:paraId="09AF9126" w14:textId="77777777">
        <w:tc>
          <w:tcPr>
            <w:tcW w:w="0" w:type="auto"/>
            <w:tcBorders>
              <w:bottom w:val="single" w:sz="6" w:space="0" w:color="E2E6EA"/>
            </w:tcBorders>
            <w:vAlign w:val="center"/>
            <w:hideMark/>
          </w:tcPr>
          <w:p w14:paraId="18EF7322"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Observer / Domain Events</w:t>
            </w:r>
          </w:p>
        </w:tc>
        <w:tc>
          <w:tcPr>
            <w:tcW w:w="0" w:type="auto"/>
            <w:tcBorders>
              <w:bottom w:val="single" w:sz="6" w:space="0" w:color="E2E6EA"/>
            </w:tcBorders>
            <w:vAlign w:val="center"/>
            <w:hideMark/>
          </w:tcPr>
          <w:p w14:paraId="35209DEB"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State transitions and significant actions publish domain events that are consumed by loosely coupled subscribers (notifications, audit logging, integration updates).</w:t>
            </w:r>
          </w:p>
        </w:tc>
        <w:tc>
          <w:tcPr>
            <w:tcW w:w="0" w:type="auto"/>
            <w:tcBorders>
              <w:bottom w:val="single" w:sz="6" w:space="0" w:color="E2E6EA"/>
            </w:tcBorders>
            <w:vAlign w:val="center"/>
            <w:hideMark/>
          </w:tcPr>
          <w:p w14:paraId="3F570D8C" w14:textId="77777777" w:rsidR="00000000" w:rsidRDefault="00000000">
            <w:pPr>
              <w:rPr>
                <w:rFonts w:ascii="Segoe UI" w:eastAsia="Times New Roman" w:hAnsi="Segoe UI" w:cs="Segoe UI"/>
                <w:color w:val="1A1F2B"/>
                <w:sz w:val="20"/>
                <w:szCs w:val="20"/>
              </w:rPr>
            </w:pPr>
            <w:r>
              <w:rPr>
                <w:rStyle w:val="HTMLCode"/>
                <w:color w:val="1A1F2B"/>
              </w:rPr>
              <w:t>NotificationService</w:t>
            </w:r>
            <w:r>
              <w:rPr>
                <w:rFonts w:ascii="Segoe UI" w:eastAsia="Times New Roman" w:hAnsi="Segoe UI" w:cs="Segoe UI"/>
                <w:color w:val="1A1F2B"/>
                <w:sz w:val="20"/>
                <w:szCs w:val="20"/>
              </w:rPr>
              <w:t xml:space="preserve">, </w:t>
            </w:r>
            <w:r>
              <w:rPr>
                <w:rStyle w:val="HTMLCode"/>
                <w:color w:val="1A1F2B"/>
              </w:rPr>
              <w:t>AuditService</w:t>
            </w:r>
          </w:p>
        </w:tc>
      </w:tr>
      <w:tr w:rsidR="00000000" w14:paraId="3370B5CF" w14:textId="77777777">
        <w:tc>
          <w:tcPr>
            <w:tcW w:w="0" w:type="auto"/>
            <w:tcBorders>
              <w:bottom w:val="single" w:sz="6" w:space="0" w:color="E2E6EA"/>
            </w:tcBorders>
            <w:vAlign w:val="center"/>
            <w:hideMark/>
          </w:tcPr>
          <w:p w14:paraId="2F6017C0"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Mediator</w:t>
            </w:r>
          </w:p>
        </w:tc>
        <w:tc>
          <w:tcPr>
            <w:tcW w:w="0" w:type="auto"/>
            <w:tcBorders>
              <w:bottom w:val="single" w:sz="6" w:space="0" w:color="E2E6EA"/>
            </w:tcBorders>
            <w:vAlign w:val="center"/>
            <w:hideMark/>
          </w:tcPr>
          <w:p w14:paraId="147BFC64"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Engine coordination is managed through a central mediator, preventing direct dependencies between engines while enabling complex multi-engine workflows.</w:t>
            </w:r>
          </w:p>
        </w:tc>
        <w:tc>
          <w:tcPr>
            <w:tcW w:w="0" w:type="auto"/>
            <w:tcBorders>
              <w:bottom w:val="single" w:sz="6" w:space="0" w:color="E2E6EA"/>
            </w:tcBorders>
            <w:vAlign w:val="center"/>
            <w:hideMark/>
          </w:tcPr>
          <w:p w14:paraId="738E416C"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Engine layer coordination</w:t>
            </w:r>
          </w:p>
        </w:tc>
      </w:tr>
      <w:tr w:rsidR="00000000" w14:paraId="793A84E6" w14:textId="77777777">
        <w:tc>
          <w:tcPr>
            <w:tcW w:w="0" w:type="auto"/>
            <w:tcBorders>
              <w:bottom w:val="single" w:sz="6" w:space="0" w:color="E2E6EA"/>
            </w:tcBorders>
            <w:vAlign w:val="center"/>
            <w:hideMark/>
          </w:tcPr>
          <w:p w14:paraId="05FB9D7F" w14:textId="77777777" w:rsidR="00000000" w:rsidRDefault="00000000">
            <w:pPr>
              <w:rPr>
                <w:rFonts w:ascii="Segoe UI" w:eastAsia="Times New Roman" w:hAnsi="Segoe UI" w:cs="Segoe UI"/>
                <w:color w:val="1A1F2B"/>
                <w:sz w:val="20"/>
                <w:szCs w:val="20"/>
              </w:rPr>
            </w:pPr>
            <w:r>
              <w:rPr>
                <w:rStyle w:val="Strong"/>
                <w:rFonts w:ascii="Segoe UI" w:eastAsia="Times New Roman" w:hAnsi="Segoe UI" w:cs="Segoe UI"/>
                <w:color w:val="1A1F2B"/>
                <w:sz w:val="20"/>
                <w:szCs w:val="20"/>
              </w:rPr>
              <w:t>Immutable Log</w:t>
            </w:r>
          </w:p>
        </w:tc>
        <w:tc>
          <w:tcPr>
            <w:tcW w:w="0" w:type="auto"/>
            <w:tcBorders>
              <w:bottom w:val="single" w:sz="6" w:space="0" w:color="E2E6EA"/>
            </w:tcBorders>
            <w:vAlign w:val="center"/>
            <w:hideMark/>
          </w:tcPr>
          <w:p w14:paraId="20D5B5B4" w14:textId="77777777" w:rsidR="00000000" w:rsidRDefault="00000000">
            <w:pPr>
              <w:rPr>
                <w:rFonts w:ascii="Segoe UI" w:eastAsia="Times New Roman" w:hAnsi="Segoe UI" w:cs="Segoe UI"/>
                <w:color w:val="1A1F2B"/>
                <w:sz w:val="20"/>
                <w:szCs w:val="20"/>
              </w:rPr>
            </w:pPr>
            <w:r>
              <w:rPr>
                <w:rFonts w:ascii="Segoe UI" w:eastAsia="Times New Roman" w:hAnsi="Segoe UI" w:cs="Segoe UI"/>
                <w:color w:val="1A1F2B"/>
                <w:sz w:val="20"/>
                <w:szCs w:val="20"/>
              </w:rPr>
              <w:t>All audit entries are append-only records that can never be modified or deleted, providing a tamper-proof evidentiary trail for legal and regulatory compliance.</w:t>
            </w:r>
          </w:p>
        </w:tc>
        <w:tc>
          <w:tcPr>
            <w:tcW w:w="0" w:type="auto"/>
            <w:tcBorders>
              <w:bottom w:val="single" w:sz="6" w:space="0" w:color="E2E6EA"/>
            </w:tcBorders>
            <w:vAlign w:val="center"/>
            <w:hideMark/>
          </w:tcPr>
          <w:p w14:paraId="41A88671" w14:textId="77777777" w:rsidR="00000000" w:rsidRDefault="00000000">
            <w:pPr>
              <w:rPr>
                <w:rFonts w:ascii="Segoe UI" w:eastAsia="Times New Roman" w:hAnsi="Segoe UI" w:cs="Segoe UI"/>
                <w:color w:val="1A1F2B"/>
                <w:sz w:val="20"/>
                <w:szCs w:val="20"/>
              </w:rPr>
            </w:pPr>
            <w:r>
              <w:rPr>
                <w:rStyle w:val="HTMLCode"/>
                <w:color w:val="1A1F2B"/>
              </w:rPr>
              <w:t>AuditEntry</w:t>
            </w:r>
            <w:r>
              <w:rPr>
                <w:rFonts w:ascii="Segoe UI" w:eastAsia="Times New Roman" w:hAnsi="Segoe UI" w:cs="Segoe UI"/>
                <w:color w:val="1A1F2B"/>
                <w:sz w:val="20"/>
                <w:szCs w:val="20"/>
              </w:rPr>
              <w:t xml:space="preserve"> table</w:t>
            </w:r>
          </w:p>
        </w:tc>
      </w:tr>
    </w:tbl>
    <w:p w14:paraId="55096251" w14:textId="77777777" w:rsidR="00000000" w:rsidRDefault="00000000">
      <w:pPr>
        <w:pStyle w:val="Heading1"/>
        <w:rPr>
          <w:rFonts w:ascii="Segoe UI" w:eastAsia="Times New Roman" w:hAnsi="Segoe UI" w:cs="Segoe UI"/>
          <w:lang w:val="en"/>
        </w:rPr>
      </w:pPr>
      <w:r>
        <w:rPr>
          <w:rFonts w:ascii="Segoe UI" w:eastAsia="Times New Roman" w:hAnsi="Segoe UI" w:cs="Segoe UI"/>
          <w:lang w:val="en"/>
        </w:rPr>
        <w:t>8. Next Steps</w:t>
      </w:r>
    </w:p>
    <w:p w14:paraId="640D9384"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The workflow and process designs documented here represent the target architecture for the DWA V&amp;V System. The following implementation tasks are prioritised for the next development phases: </w:t>
      </w:r>
    </w:p>
    <w:p w14:paraId="77E123D7"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8.1 WorkflowEngine Implementation</w:t>
      </w:r>
    </w:p>
    <w:p w14:paraId="1328D6BC"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Implement the core </w:t>
      </w:r>
      <w:r>
        <w:rPr>
          <w:rStyle w:val="HTMLCode"/>
          <w:color w:val="1A1F2B"/>
          <w:lang w:val="en"/>
        </w:rPr>
        <w:t>WorkflowEngine</w:t>
      </w:r>
      <w:r>
        <w:rPr>
          <w:rFonts w:ascii="Segoe UI" w:hAnsi="Segoe UI" w:cs="Segoe UI"/>
          <w:color w:val="1A1F2B"/>
          <w:sz w:val="22"/>
          <w:szCs w:val="22"/>
          <w:lang w:val="en"/>
        </w:rPr>
        <w:t xml:space="preserve"> class with the state machine, transition guard evaluation, and domain event publishing. Create the </w:t>
      </w:r>
      <w:r>
        <w:rPr>
          <w:rStyle w:val="HTMLCode"/>
          <w:color w:val="1A1F2B"/>
          <w:lang w:val="en"/>
        </w:rPr>
        <w:t>WorkflowState</w:t>
      </w:r>
      <w:r>
        <w:rPr>
          <w:rFonts w:ascii="Segoe UI" w:hAnsi="Segoe UI" w:cs="Segoe UI"/>
          <w:color w:val="1A1F2B"/>
          <w:sz w:val="22"/>
          <w:szCs w:val="22"/>
          <w:lang w:val="en"/>
        </w:rPr>
        <w:t xml:space="preserve"> seed data for all states identified in this document. Implement the </w:t>
      </w:r>
      <w:r>
        <w:rPr>
          <w:rStyle w:val="HTMLCode"/>
          <w:color w:val="1A1F2B"/>
          <w:lang w:val="en"/>
        </w:rPr>
        <w:t>ITransitionGuard</w:t>
      </w:r>
      <w:r>
        <w:rPr>
          <w:rFonts w:ascii="Segoe UI" w:hAnsi="Segoe UI" w:cs="Segoe UI"/>
          <w:color w:val="1A1F2B"/>
          <w:sz w:val="22"/>
          <w:szCs w:val="22"/>
          <w:lang w:val="en"/>
        </w:rPr>
        <w:t xml:space="preserve"> interface and create guard implementations for each control point transition. </w:t>
      </w:r>
    </w:p>
    <w:p w14:paraId="20C2A5DE"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lastRenderedPageBreak/>
        <w:t>8.2 QuestPDF Letter Templates</w:t>
      </w:r>
    </w:p>
    <w:p w14:paraId="6661F8A2"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Design and implement QuestPDF templates for all seven Section 35 letter types (Letters 1, 1A, 2, 2A, 3, 4A, and 4&amp;5). Each template must incorporate the DWS letterhead, case-specific data fields, signature placement zones, and statutory language as prescribed by the NWA. </w:t>
      </w:r>
    </w:p>
    <w:p w14:paraId="578C4786"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8.3 SignaturePad.js Integration</w:t>
      </w:r>
    </w:p>
    <w:p w14:paraId="3BA0D65E"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Integrate SignaturePad.js into both the internal application and external portal. Implement the server-side signature verification, hash comparison, and PDF embedding pipeline. Create the </w:t>
      </w:r>
      <w:r>
        <w:rPr>
          <w:rStyle w:val="HTMLCode"/>
          <w:color w:val="1A1F2B"/>
          <w:lang w:val="en"/>
        </w:rPr>
        <w:t>DigitalSignature</w:t>
      </w:r>
      <w:r>
        <w:rPr>
          <w:rFonts w:ascii="Segoe UI" w:hAnsi="Segoe UI" w:cs="Segoe UI"/>
          <w:color w:val="1A1F2B"/>
          <w:sz w:val="22"/>
          <w:szCs w:val="22"/>
          <w:lang w:val="en"/>
        </w:rPr>
        <w:t xml:space="preserve"> and </w:t>
      </w:r>
      <w:r>
        <w:rPr>
          <w:rStyle w:val="HTMLCode"/>
          <w:color w:val="1A1F2B"/>
          <w:lang w:val="en"/>
        </w:rPr>
        <w:t>SignatureRequest</w:t>
      </w:r>
      <w:r>
        <w:rPr>
          <w:rFonts w:ascii="Segoe UI" w:hAnsi="Segoe UI" w:cs="Segoe UI"/>
          <w:color w:val="1A1F2B"/>
          <w:sz w:val="22"/>
          <w:szCs w:val="22"/>
          <w:lang w:val="en"/>
        </w:rPr>
        <w:t xml:space="preserve"> entities and their corresponding repository interfaces. </w:t>
      </w:r>
    </w:p>
    <w:p w14:paraId="244CA333"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8.4 Notification Service</w:t>
      </w:r>
    </w:p>
    <w:p w14:paraId="2B1DA735"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Implement the </w:t>
      </w:r>
      <w:r>
        <w:rPr>
          <w:rStyle w:val="HTMLCode"/>
          <w:color w:val="1A1F2B"/>
          <w:lang w:val="en"/>
        </w:rPr>
        <w:t>NotificationService</w:t>
      </w:r>
      <w:r>
        <w:rPr>
          <w:rFonts w:ascii="Segoe UI" w:hAnsi="Segoe UI" w:cs="Segoe UI"/>
          <w:color w:val="1A1F2B"/>
          <w:sz w:val="22"/>
          <w:szCs w:val="22"/>
          <w:lang w:val="en"/>
        </w:rPr>
        <w:t xml:space="preserve"> with support for email (via SMTP or a transactional email provider), in-app notifications (via a notification hub), and SMS (via an SMS gateway provider). Define the notification templates for each domain event type and configure the delivery preferences per user role. </w:t>
      </w:r>
    </w:p>
    <w:p w14:paraId="2BA46144" w14:textId="77777777" w:rsidR="00000000" w:rsidRDefault="00000000">
      <w:pPr>
        <w:pStyle w:val="Heading3"/>
        <w:rPr>
          <w:rFonts w:ascii="Segoe UI" w:eastAsia="Times New Roman" w:hAnsi="Segoe UI" w:cs="Segoe UI"/>
          <w:lang w:val="en"/>
        </w:rPr>
      </w:pPr>
      <w:r>
        <w:rPr>
          <w:rFonts w:ascii="Segoe UI" w:eastAsia="Times New Roman" w:hAnsi="Segoe UI" w:cs="Segoe UI"/>
          <w:lang w:val="en"/>
        </w:rPr>
        <w:t>8.5 eWULAAS API Integration Specification</w:t>
      </w:r>
    </w:p>
    <w:p w14:paraId="5C342C57" w14:textId="77777777" w:rsidR="00000000" w:rsidRDefault="00000000">
      <w:pPr>
        <w:pStyle w:val="NormalWeb"/>
        <w:rPr>
          <w:rFonts w:ascii="Segoe UI" w:hAnsi="Segoe UI" w:cs="Segoe UI"/>
          <w:color w:val="1A1F2B"/>
          <w:sz w:val="22"/>
          <w:szCs w:val="22"/>
          <w:lang w:val="en"/>
        </w:rPr>
      </w:pPr>
      <w:r>
        <w:rPr>
          <w:rFonts w:ascii="Segoe UI" w:hAnsi="Segoe UI" w:cs="Segoe UI"/>
          <w:color w:val="1A1F2B"/>
          <w:sz w:val="22"/>
          <w:szCs w:val="22"/>
          <w:lang w:val="en"/>
        </w:rPr>
        <w:t xml:space="preserve">Develop the detailed API integration specification for eWULAAS, covering the data contracts for both reading registration data at case inception and writing determination data at case closure. Coordinate with the eWULAAS development team (also on C#/ASP.NET/SQL Server) to agree on authentication, data formats, error handling, and retry policies. </w:t>
      </w:r>
    </w:p>
    <w:p w14:paraId="5896001D" w14:textId="77777777" w:rsidR="00000000" w:rsidRDefault="00000000">
      <w:pPr>
        <w:shd w:val="clear" w:color="auto" w:fill="F0F6FC"/>
        <w:divId w:val="713038240"/>
        <w:rPr>
          <w:rFonts w:ascii="Segoe UI" w:eastAsia="Times New Roman" w:hAnsi="Segoe UI" w:cs="Segoe UI"/>
          <w:b/>
          <w:bCs/>
          <w:color w:val="002855"/>
          <w:sz w:val="20"/>
          <w:szCs w:val="20"/>
          <w:lang w:val="en"/>
        </w:rPr>
      </w:pPr>
      <w:r>
        <w:rPr>
          <w:rFonts w:ascii="Segoe UI" w:eastAsia="Times New Roman" w:hAnsi="Segoe UI" w:cs="Segoe UI"/>
          <w:b/>
          <w:bCs/>
          <w:color w:val="002855"/>
          <w:sz w:val="20"/>
          <w:szCs w:val="20"/>
          <w:lang w:val="en"/>
        </w:rPr>
        <w:t>Implementation Priority</w:t>
      </w:r>
    </w:p>
    <w:p w14:paraId="0D8F31B4" w14:textId="77777777" w:rsidR="00000000" w:rsidRDefault="00000000">
      <w:pPr>
        <w:shd w:val="clear" w:color="auto" w:fill="F0F6FC"/>
        <w:divId w:val="805657768"/>
        <w:rPr>
          <w:rFonts w:ascii="Segoe UI" w:eastAsia="Times New Roman" w:hAnsi="Segoe UI" w:cs="Segoe UI"/>
          <w:color w:val="1A1F2B"/>
          <w:sz w:val="20"/>
          <w:szCs w:val="20"/>
          <w:lang w:val="en"/>
        </w:rPr>
      </w:pPr>
      <w:r>
        <w:rPr>
          <w:rFonts w:ascii="Segoe UI" w:eastAsia="Times New Roman" w:hAnsi="Segoe UI" w:cs="Segoe UI"/>
          <w:color w:val="1A1F2B"/>
          <w:sz w:val="20"/>
          <w:szCs w:val="20"/>
          <w:lang w:val="en"/>
        </w:rPr>
        <w:t xml:space="preserve">The WorkflowEngine (8.1) is the critical-path dependency for all other components. Letter templates (8.2) and the notification service (8.4) can be developed in parallel once the workflow engine's domain event interface is defined. The signature flow (8.3) depends on letter templates being available. eWULAAS integration (8.5) requires external coordination and should be initiated early to avoid delays. </w:t>
      </w:r>
    </w:p>
    <w:p w14:paraId="49727FB6" w14:textId="77777777" w:rsidR="00000000" w:rsidRDefault="00000000">
      <w:pPr>
        <w:rPr>
          <w:rFonts w:ascii="Segoe UI" w:eastAsia="Times New Roman" w:hAnsi="Segoe UI" w:cs="Segoe UI"/>
          <w:color w:val="1A1F2B"/>
          <w:sz w:val="22"/>
          <w:szCs w:val="22"/>
          <w:lang w:val="en"/>
        </w:rPr>
      </w:pPr>
    </w:p>
    <w:p w14:paraId="489A413C" w14:textId="77777777" w:rsidR="00000000" w:rsidRDefault="00000000">
      <w:pPr>
        <w:pStyle w:val="NormalWeb"/>
        <w:divId w:val="1339381855"/>
        <w:rPr>
          <w:rFonts w:ascii="Segoe UI" w:hAnsi="Segoe UI" w:cs="Segoe UI"/>
          <w:color w:val="8892A0"/>
          <w:sz w:val="18"/>
          <w:szCs w:val="18"/>
          <w:lang w:val="en"/>
        </w:rPr>
      </w:pPr>
      <w:r>
        <w:rPr>
          <w:rFonts w:ascii="Segoe UI" w:hAnsi="Segoe UI" w:cs="Segoe UI"/>
          <w:color w:val="8892A0"/>
          <w:sz w:val="18"/>
          <w:szCs w:val="18"/>
          <w:lang w:val="en"/>
        </w:rPr>
        <w:t>DWA Validation &amp; Verification System — Workflow &amp; Process Design — Version 1.0</w:t>
      </w:r>
    </w:p>
    <w:p w14:paraId="60C565A6" w14:textId="77777777" w:rsidR="00000000" w:rsidRDefault="00000000">
      <w:pPr>
        <w:pStyle w:val="NormalWeb"/>
        <w:divId w:val="1339381855"/>
        <w:rPr>
          <w:rFonts w:ascii="Segoe UI" w:hAnsi="Segoe UI" w:cs="Segoe UI"/>
          <w:color w:val="8892A0"/>
          <w:sz w:val="18"/>
          <w:szCs w:val="18"/>
          <w:lang w:val="en"/>
        </w:rPr>
      </w:pPr>
      <w:r>
        <w:rPr>
          <w:rFonts w:ascii="Segoe UI" w:hAnsi="Segoe UI" w:cs="Segoe UI"/>
          <w:color w:val="8892A0"/>
          <w:sz w:val="18"/>
          <w:szCs w:val="18"/>
          <w:lang w:val="en"/>
        </w:rPr>
        <w:t>Department of Water and Sanitation (DWS) — 25 March 2026</w:t>
      </w:r>
    </w:p>
    <w:p w14:paraId="0FD97CC1" w14:textId="77777777" w:rsidR="00F0756C" w:rsidRDefault="00000000">
      <w:pPr>
        <w:pStyle w:val="NormalWeb"/>
        <w:divId w:val="1339381855"/>
        <w:rPr>
          <w:rFonts w:ascii="Segoe UI" w:hAnsi="Segoe UI" w:cs="Segoe UI"/>
          <w:color w:val="8892A0"/>
          <w:sz w:val="18"/>
          <w:szCs w:val="18"/>
          <w:lang w:val="en"/>
        </w:rPr>
      </w:pPr>
      <w:r>
        <w:rPr>
          <w:rFonts w:ascii="Segoe UI" w:hAnsi="Segoe UI" w:cs="Segoe UI"/>
          <w:color w:val="8892A0"/>
          <w:sz w:val="18"/>
          <w:szCs w:val="18"/>
          <w:lang w:val="en"/>
        </w:rPr>
        <w:t>End of Document</w:t>
      </w:r>
    </w:p>
    <w:sectPr w:rsidR="00F0756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E6ED6" w14:textId="77777777" w:rsidR="00F0756C" w:rsidRDefault="00F0756C" w:rsidP="00265E69">
      <w:r>
        <w:separator/>
      </w:r>
    </w:p>
  </w:endnote>
  <w:endnote w:type="continuationSeparator" w:id="0">
    <w:p w14:paraId="08F8E4EE" w14:textId="77777777" w:rsidR="00F0756C" w:rsidRDefault="00F0756C" w:rsidP="00265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6844" w14:textId="77777777" w:rsidR="00265E69" w:rsidRDefault="00265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2308" w14:textId="77777777" w:rsidR="00265E69" w:rsidRDefault="00265E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2A09" w14:textId="77777777" w:rsidR="00265E69" w:rsidRDefault="00265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FABB" w14:textId="77777777" w:rsidR="00F0756C" w:rsidRDefault="00F0756C" w:rsidP="00265E69">
      <w:r>
        <w:separator/>
      </w:r>
    </w:p>
  </w:footnote>
  <w:footnote w:type="continuationSeparator" w:id="0">
    <w:p w14:paraId="3941E18D" w14:textId="77777777" w:rsidR="00F0756C" w:rsidRDefault="00F0756C" w:rsidP="00265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3B6F" w14:textId="77777777" w:rsidR="00265E69" w:rsidRDefault="00265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9630A" w14:textId="77777777" w:rsidR="00265E69" w:rsidRDefault="00265E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4715" w14:textId="77777777" w:rsidR="00265E69" w:rsidRDefault="00265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C45"/>
    <w:multiLevelType w:val="multilevel"/>
    <w:tmpl w:val="17A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0DF5"/>
    <w:multiLevelType w:val="multilevel"/>
    <w:tmpl w:val="3D9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442D7"/>
    <w:multiLevelType w:val="multilevel"/>
    <w:tmpl w:val="03F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806CD"/>
    <w:multiLevelType w:val="multilevel"/>
    <w:tmpl w:val="0D1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C184D"/>
    <w:multiLevelType w:val="multilevel"/>
    <w:tmpl w:val="DCAE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471C8"/>
    <w:multiLevelType w:val="multilevel"/>
    <w:tmpl w:val="914A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D5E24"/>
    <w:multiLevelType w:val="multilevel"/>
    <w:tmpl w:val="A0E6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9614B"/>
    <w:multiLevelType w:val="multilevel"/>
    <w:tmpl w:val="86AA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24C94"/>
    <w:multiLevelType w:val="multilevel"/>
    <w:tmpl w:val="40F4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D473F"/>
    <w:multiLevelType w:val="multilevel"/>
    <w:tmpl w:val="1310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8A62AF"/>
    <w:multiLevelType w:val="multilevel"/>
    <w:tmpl w:val="2D0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118AB"/>
    <w:multiLevelType w:val="multilevel"/>
    <w:tmpl w:val="086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F4B0A"/>
    <w:multiLevelType w:val="multilevel"/>
    <w:tmpl w:val="E916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F121D"/>
    <w:multiLevelType w:val="multilevel"/>
    <w:tmpl w:val="44E8F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31B61"/>
    <w:multiLevelType w:val="multilevel"/>
    <w:tmpl w:val="236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05ACD"/>
    <w:multiLevelType w:val="multilevel"/>
    <w:tmpl w:val="6D5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D3F3C"/>
    <w:multiLevelType w:val="multilevel"/>
    <w:tmpl w:val="4792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815B8B"/>
    <w:multiLevelType w:val="multilevel"/>
    <w:tmpl w:val="713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A02C2"/>
    <w:multiLevelType w:val="multilevel"/>
    <w:tmpl w:val="1CDEB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5A1943"/>
    <w:multiLevelType w:val="multilevel"/>
    <w:tmpl w:val="A308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259900">
    <w:abstractNumId w:val="18"/>
  </w:num>
  <w:num w:numId="2" w16cid:durableId="250354695">
    <w:abstractNumId w:val="7"/>
  </w:num>
  <w:num w:numId="3" w16cid:durableId="1773276563">
    <w:abstractNumId w:val="2"/>
  </w:num>
  <w:num w:numId="4" w16cid:durableId="52049851">
    <w:abstractNumId w:val="6"/>
  </w:num>
  <w:num w:numId="5" w16cid:durableId="46537307">
    <w:abstractNumId w:val="10"/>
  </w:num>
  <w:num w:numId="6" w16cid:durableId="810514638">
    <w:abstractNumId w:val="3"/>
  </w:num>
  <w:num w:numId="7" w16cid:durableId="1785267608">
    <w:abstractNumId w:val="4"/>
  </w:num>
  <w:num w:numId="8" w16cid:durableId="1571695623">
    <w:abstractNumId w:val="9"/>
  </w:num>
  <w:num w:numId="9" w16cid:durableId="272639149">
    <w:abstractNumId w:val="1"/>
  </w:num>
  <w:num w:numId="10" w16cid:durableId="514198295">
    <w:abstractNumId w:val="5"/>
  </w:num>
  <w:num w:numId="11" w16cid:durableId="2096778028">
    <w:abstractNumId w:val="8"/>
  </w:num>
  <w:num w:numId="12" w16cid:durableId="1658529113">
    <w:abstractNumId w:val="16"/>
  </w:num>
  <w:num w:numId="13" w16cid:durableId="1780877658">
    <w:abstractNumId w:val="14"/>
  </w:num>
  <w:num w:numId="14" w16cid:durableId="560482682">
    <w:abstractNumId w:val="17"/>
  </w:num>
  <w:num w:numId="15" w16cid:durableId="818114565">
    <w:abstractNumId w:val="0"/>
  </w:num>
  <w:num w:numId="16" w16cid:durableId="88623397">
    <w:abstractNumId w:val="19"/>
  </w:num>
  <w:num w:numId="17" w16cid:durableId="785470723">
    <w:abstractNumId w:val="11"/>
  </w:num>
  <w:num w:numId="18" w16cid:durableId="2016616521">
    <w:abstractNumId w:val="12"/>
  </w:num>
  <w:num w:numId="19" w16cid:durableId="773330713">
    <w:abstractNumId w:val="13"/>
  </w:num>
  <w:num w:numId="20" w16cid:durableId="3123011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5E69"/>
    <w:rsid w:val="00265E69"/>
    <w:rsid w:val="00AF24FB"/>
    <w:rsid w:val="00CE7D90"/>
    <w:rsid w:val="00D35585"/>
    <w:rsid w:val="00F07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2B04A"/>
  <w15:chartTrackingRefBased/>
  <w15:docId w15:val="{781312B7-F8E5-2841-AB97-B38E294F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100" w:beforeAutospacing="1" w:after="100" w:afterAutospacing="1"/>
      <w:outlineLvl w:val="0"/>
    </w:pPr>
    <w:rPr>
      <w:b/>
      <w:bCs/>
      <w:color w:val="002855"/>
      <w:kern w:val="36"/>
      <w:sz w:val="40"/>
      <w:szCs w:val="40"/>
    </w:rPr>
  </w:style>
  <w:style w:type="paragraph" w:styleId="Heading2">
    <w:name w:val="heading 2"/>
    <w:basedOn w:val="Normal"/>
    <w:link w:val="Heading2Char"/>
    <w:uiPriority w:val="9"/>
    <w:qFormat/>
    <w:pPr>
      <w:keepNext/>
      <w:pBdr>
        <w:bottom w:val="single" w:sz="12" w:space="0" w:color="7DB8E0"/>
      </w:pBdr>
      <w:spacing w:before="100" w:beforeAutospacing="1" w:after="100" w:afterAutospacing="1"/>
      <w:outlineLvl w:val="1"/>
    </w:pPr>
    <w:rPr>
      <w:b/>
      <w:bCs/>
      <w:color w:val="002855"/>
      <w:sz w:val="30"/>
      <w:szCs w:val="30"/>
    </w:rPr>
  </w:style>
  <w:style w:type="paragraph" w:styleId="Heading3">
    <w:name w:val="heading 3"/>
    <w:basedOn w:val="Normal"/>
    <w:link w:val="Heading3Char"/>
    <w:uiPriority w:val="9"/>
    <w:qFormat/>
    <w:pPr>
      <w:keepNext/>
      <w:spacing w:before="100" w:beforeAutospacing="1" w:after="100" w:afterAutospacing="1"/>
      <w:outlineLvl w:val="2"/>
    </w:pPr>
    <w:rPr>
      <w:b/>
      <w:bCs/>
      <w:color w:val="0066B3"/>
    </w:rPr>
  </w:style>
  <w:style w:type="paragraph" w:styleId="Heading4">
    <w:name w:val="heading 4"/>
    <w:basedOn w:val="Normal"/>
    <w:link w:val="Heading4Char"/>
    <w:uiPriority w:val="9"/>
    <w:qFormat/>
    <w:pPr>
      <w:spacing w:before="100" w:beforeAutospacing="1" w:after="100" w:afterAutospacing="1"/>
      <w:outlineLvl w:val="3"/>
    </w:pPr>
    <w:rPr>
      <w:b/>
      <w:bCs/>
      <w:color w:val="00838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cover">
    <w:name w:val="cover"/>
    <w:basedOn w:val="Normal"/>
    <w:pPr>
      <w:spacing w:before="100" w:beforeAutospacing="1" w:after="100" w:afterAutospacing="1"/>
      <w:jc w:val="center"/>
    </w:pPr>
  </w:style>
  <w:style w:type="paragraph" w:customStyle="1" w:styleId="cover-stripe">
    <w:name w:val="cover-stripe"/>
    <w:basedOn w:val="Normal"/>
    <w:pPr>
      <w:spacing w:before="100" w:beforeAutospacing="1" w:after="100" w:afterAutospacing="1"/>
    </w:pPr>
  </w:style>
  <w:style w:type="paragraph" w:customStyle="1" w:styleId="cover-meta">
    <w:name w:val="cover-meta"/>
    <w:basedOn w:val="Normal"/>
    <w:pPr>
      <w:spacing w:before="100" w:beforeAutospacing="1" w:after="100" w:afterAutospacing="1" w:line="480" w:lineRule="auto"/>
    </w:pPr>
    <w:rPr>
      <w:color w:val="555D6E"/>
      <w:sz w:val="20"/>
      <w:szCs w:val="20"/>
    </w:rPr>
  </w:style>
  <w:style w:type="paragraph" w:customStyle="1" w:styleId="cover-footer">
    <w:name w:val="cover-footer"/>
    <w:basedOn w:val="Normal"/>
    <w:pPr>
      <w:spacing w:before="100" w:beforeAutospacing="1" w:after="100" w:afterAutospacing="1"/>
    </w:pPr>
    <w:rPr>
      <w:color w:val="8892A0"/>
      <w:sz w:val="18"/>
      <w:szCs w:val="18"/>
    </w:rPr>
  </w:style>
  <w:style w:type="paragraph" w:customStyle="1" w:styleId="callout">
    <w:name w:val="callout"/>
    <w:basedOn w:val="Normal"/>
    <w:pPr>
      <w:pBdr>
        <w:left w:val="single" w:sz="24" w:space="0" w:color="0066B3"/>
      </w:pBdr>
      <w:shd w:val="clear" w:color="auto" w:fill="F0F6FC"/>
      <w:spacing w:before="100" w:beforeAutospacing="1" w:after="100" w:afterAutospacing="1"/>
    </w:pPr>
    <w:rPr>
      <w:sz w:val="20"/>
      <w:szCs w:val="20"/>
    </w:rPr>
  </w:style>
  <w:style w:type="paragraph" w:customStyle="1" w:styleId="callout-title">
    <w:name w:val="callout-title"/>
    <w:basedOn w:val="Normal"/>
    <w:pPr>
      <w:spacing w:before="100" w:beforeAutospacing="1" w:after="100" w:afterAutospacing="1"/>
    </w:pPr>
    <w:rPr>
      <w:b/>
      <w:bCs/>
      <w:color w:val="002855"/>
    </w:rPr>
  </w:style>
  <w:style w:type="paragraph" w:customStyle="1" w:styleId="page-break">
    <w:name w:val="page-break"/>
    <w:basedOn w:val="Normal"/>
    <w:pPr>
      <w:pageBreakBefore/>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eader">
    <w:name w:val="header"/>
    <w:basedOn w:val="Normal"/>
    <w:link w:val="HeaderChar"/>
    <w:uiPriority w:val="99"/>
    <w:unhideWhenUsed/>
    <w:rsid w:val="00265E69"/>
    <w:pPr>
      <w:tabs>
        <w:tab w:val="center" w:pos="4680"/>
        <w:tab w:val="right" w:pos="9360"/>
      </w:tabs>
    </w:pPr>
  </w:style>
  <w:style w:type="character" w:customStyle="1" w:styleId="HeaderChar">
    <w:name w:val="Header Char"/>
    <w:basedOn w:val="DefaultParagraphFont"/>
    <w:link w:val="Header"/>
    <w:uiPriority w:val="99"/>
    <w:rsid w:val="00265E69"/>
    <w:rPr>
      <w:rFonts w:eastAsiaTheme="minorEastAsia"/>
      <w:sz w:val="24"/>
      <w:szCs w:val="24"/>
    </w:rPr>
  </w:style>
  <w:style w:type="paragraph" w:styleId="Footer">
    <w:name w:val="footer"/>
    <w:basedOn w:val="Normal"/>
    <w:link w:val="FooterChar"/>
    <w:uiPriority w:val="99"/>
    <w:unhideWhenUsed/>
    <w:rsid w:val="00265E69"/>
    <w:pPr>
      <w:tabs>
        <w:tab w:val="center" w:pos="4680"/>
        <w:tab w:val="right" w:pos="9360"/>
      </w:tabs>
    </w:pPr>
  </w:style>
  <w:style w:type="character" w:customStyle="1" w:styleId="FooterChar">
    <w:name w:val="Footer Char"/>
    <w:basedOn w:val="DefaultParagraphFont"/>
    <w:link w:val="Footer"/>
    <w:uiPriority w:val="99"/>
    <w:rsid w:val="00265E6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3791">
      <w:marLeft w:val="0"/>
      <w:marRight w:val="0"/>
      <w:marTop w:val="0"/>
      <w:marBottom w:val="0"/>
      <w:divBdr>
        <w:top w:val="none" w:sz="0" w:space="0" w:color="auto"/>
        <w:left w:val="single" w:sz="24" w:space="0" w:color="0066B3"/>
        <w:bottom w:val="none" w:sz="0" w:space="0" w:color="auto"/>
        <w:right w:val="none" w:sz="0" w:space="0" w:color="auto"/>
      </w:divBdr>
      <w:divsChild>
        <w:div w:id="1632323149">
          <w:marLeft w:val="0"/>
          <w:marRight w:val="0"/>
          <w:marTop w:val="0"/>
          <w:marBottom w:val="0"/>
          <w:divBdr>
            <w:top w:val="none" w:sz="0" w:space="0" w:color="auto"/>
            <w:left w:val="none" w:sz="0" w:space="0" w:color="auto"/>
            <w:bottom w:val="none" w:sz="0" w:space="0" w:color="auto"/>
            <w:right w:val="none" w:sz="0" w:space="0" w:color="auto"/>
          </w:divBdr>
        </w:div>
      </w:divsChild>
    </w:div>
    <w:div w:id="291450203">
      <w:marLeft w:val="0"/>
      <w:marRight w:val="0"/>
      <w:marTop w:val="0"/>
      <w:marBottom w:val="0"/>
      <w:divBdr>
        <w:top w:val="none" w:sz="0" w:space="0" w:color="auto"/>
        <w:left w:val="single" w:sz="24" w:space="0" w:color="0066B3"/>
        <w:bottom w:val="none" w:sz="0" w:space="0" w:color="auto"/>
        <w:right w:val="none" w:sz="0" w:space="0" w:color="auto"/>
      </w:divBdr>
      <w:divsChild>
        <w:div w:id="498346354">
          <w:marLeft w:val="0"/>
          <w:marRight w:val="0"/>
          <w:marTop w:val="0"/>
          <w:marBottom w:val="0"/>
          <w:divBdr>
            <w:top w:val="none" w:sz="0" w:space="0" w:color="auto"/>
            <w:left w:val="none" w:sz="0" w:space="0" w:color="auto"/>
            <w:bottom w:val="none" w:sz="0" w:space="0" w:color="auto"/>
            <w:right w:val="none" w:sz="0" w:space="0" w:color="auto"/>
          </w:divBdr>
        </w:div>
      </w:divsChild>
    </w:div>
    <w:div w:id="337118010">
      <w:marLeft w:val="0"/>
      <w:marRight w:val="0"/>
      <w:marTop w:val="0"/>
      <w:marBottom w:val="0"/>
      <w:divBdr>
        <w:top w:val="none" w:sz="0" w:space="0" w:color="auto"/>
        <w:left w:val="single" w:sz="24" w:space="0" w:color="0066B3"/>
        <w:bottom w:val="none" w:sz="0" w:space="0" w:color="auto"/>
        <w:right w:val="none" w:sz="0" w:space="0" w:color="auto"/>
      </w:divBdr>
      <w:divsChild>
        <w:div w:id="1596598645">
          <w:marLeft w:val="0"/>
          <w:marRight w:val="0"/>
          <w:marTop w:val="0"/>
          <w:marBottom w:val="0"/>
          <w:divBdr>
            <w:top w:val="none" w:sz="0" w:space="0" w:color="auto"/>
            <w:left w:val="none" w:sz="0" w:space="0" w:color="auto"/>
            <w:bottom w:val="none" w:sz="0" w:space="0" w:color="auto"/>
            <w:right w:val="none" w:sz="0" w:space="0" w:color="auto"/>
          </w:divBdr>
        </w:div>
      </w:divsChild>
    </w:div>
    <w:div w:id="355616009">
      <w:marLeft w:val="0"/>
      <w:marRight w:val="0"/>
      <w:marTop w:val="0"/>
      <w:marBottom w:val="0"/>
      <w:divBdr>
        <w:top w:val="none" w:sz="0" w:space="0" w:color="auto"/>
        <w:left w:val="single" w:sz="24" w:space="0" w:color="0066B3"/>
        <w:bottom w:val="none" w:sz="0" w:space="0" w:color="auto"/>
        <w:right w:val="none" w:sz="0" w:space="0" w:color="auto"/>
      </w:divBdr>
      <w:divsChild>
        <w:div w:id="794063096">
          <w:marLeft w:val="0"/>
          <w:marRight w:val="0"/>
          <w:marTop w:val="0"/>
          <w:marBottom w:val="0"/>
          <w:divBdr>
            <w:top w:val="none" w:sz="0" w:space="0" w:color="auto"/>
            <w:left w:val="none" w:sz="0" w:space="0" w:color="auto"/>
            <w:bottom w:val="none" w:sz="0" w:space="0" w:color="auto"/>
            <w:right w:val="none" w:sz="0" w:space="0" w:color="auto"/>
          </w:divBdr>
        </w:div>
      </w:divsChild>
    </w:div>
    <w:div w:id="773785334">
      <w:marLeft w:val="0"/>
      <w:marRight w:val="0"/>
      <w:marTop w:val="0"/>
      <w:marBottom w:val="0"/>
      <w:divBdr>
        <w:top w:val="none" w:sz="0" w:space="0" w:color="auto"/>
        <w:left w:val="single" w:sz="24" w:space="0" w:color="0066B3"/>
        <w:bottom w:val="none" w:sz="0" w:space="0" w:color="auto"/>
        <w:right w:val="none" w:sz="0" w:space="0" w:color="auto"/>
      </w:divBdr>
      <w:divsChild>
        <w:div w:id="1393651484">
          <w:marLeft w:val="0"/>
          <w:marRight w:val="0"/>
          <w:marTop w:val="0"/>
          <w:marBottom w:val="0"/>
          <w:divBdr>
            <w:top w:val="none" w:sz="0" w:space="0" w:color="auto"/>
            <w:left w:val="none" w:sz="0" w:space="0" w:color="auto"/>
            <w:bottom w:val="none" w:sz="0" w:space="0" w:color="auto"/>
            <w:right w:val="none" w:sz="0" w:space="0" w:color="auto"/>
          </w:divBdr>
        </w:div>
      </w:divsChild>
    </w:div>
    <w:div w:id="805657768">
      <w:marLeft w:val="0"/>
      <w:marRight w:val="0"/>
      <w:marTop w:val="0"/>
      <w:marBottom w:val="0"/>
      <w:divBdr>
        <w:top w:val="none" w:sz="0" w:space="0" w:color="auto"/>
        <w:left w:val="single" w:sz="24" w:space="0" w:color="0066B3"/>
        <w:bottom w:val="none" w:sz="0" w:space="0" w:color="auto"/>
        <w:right w:val="none" w:sz="0" w:space="0" w:color="auto"/>
      </w:divBdr>
      <w:divsChild>
        <w:div w:id="713038240">
          <w:marLeft w:val="0"/>
          <w:marRight w:val="0"/>
          <w:marTop w:val="0"/>
          <w:marBottom w:val="0"/>
          <w:divBdr>
            <w:top w:val="none" w:sz="0" w:space="0" w:color="auto"/>
            <w:left w:val="none" w:sz="0" w:space="0" w:color="auto"/>
            <w:bottom w:val="none" w:sz="0" w:space="0" w:color="auto"/>
            <w:right w:val="none" w:sz="0" w:space="0" w:color="auto"/>
          </w:divBdr>
        </w:div>
      </w:divsChild>
    </w:div>
    <w:div w:id="929579827">
      <w:marLeft w:val="0"/>
      <w:marRight w:val="0"/>
      <w:marTop w:val="0"/>
      <w:marBottom w:val="0"/>
      <w:divBdr>
        <w:top w:val="none" w:sz="0" w:space="0" w:color="auto"/>
        <w:left w:val="single" w:sz="24" w:space="0" w:color="0066B3"/>
        <w:bottom w:val="none" w:sz="0" w:space="0" w:color="auto"/>
        <w:right w:val="none" w:sz="0" w:space="0" w:color="auto"/>
      </w:divBdr>
      <w:divsChild>
        <w:div w:id="1504275131">
          <w:marLeft w:val="0"/>
          <w:marRight w:val="0"/>
          <w:marTop w:val="0"/>
          <w:marBottom w:val="0"/>
          <w:divBdr>
            <w:top w:val="none" w:sz="0" w:space="0" w:color="auto"/>
            <w:left w:val="none" w:sz="0" w:space="0" w:color="auto"/>
            <w:bottom w:val="none" w:sz="0" w:space="0" w:color="auto"/>
            <w:right w:val="none" w:sz="0" w:space="0" w:color="auto"/>
          </w:divBdr>
        </w:div>
      </w:divsChild>
    </w:div>
    <w:div w:id="1058014681">
      <w:marLeft w:val="0"/>
      <w:marRight w:val="0"/>
      <w:marTop w:val="0"/>
      <w:marBottom w:val="0"/>
      <w:divBdr>
        <w:top w:val="none" w:sz="0" w:space="0" w:color="auto"/>
        <w:left w:val="single" w:sz="24" w:space="0" w:color="0066B3"/>
        <w:bottom w:val="none" w:sz="0" w:space="0" w:color="auto"/>
        <w:right w:val="none" w:sz="0" w:space="0" w:color="auto"/>
      </w:divBdr>
      <w:divsChild>
        <w:div w:id="1419600511">
          <w:marLeft w:val="0"/>
          <w:marRight w:val="0"/>
          <w:marTop w:val="0"/>
          <w:marBottom w:val="0"/>
          <w:divBdr>
            <w:top w:val="none" w:sz="0" w:space="0" w:color="auto"/>
            <w:left w:val="none" w:sz="0" w:space="0" w:color="auto"/>
            <w:bottom w:val="none" w:sz="0" w:space="0" w:color="auto"/>
            <w:right w:val="none" w:sz="0" w:space="0" w:color="auto"/>
          </w:divBdr>
        </w:div>
      </w:divsChild>
    </w:div>
    <w:div w:id="1067341777">
      <w:marLeft w:val="0"/>
      <w:marRight w:val="0"/>
      <w:marTop w:val="0"/>
      <w:marBottom w:val="0"/>
      <w:divBdr>
        <w:top w:val="none" w:sz="0" w:space="0" w:color="auto"/>
        <w:left w:val="single" w:sz="24" w:space="0" w:color="0066B3"/>
        <w:bottom w:val="none" w:sz="0" w:space="0" w:color="auto"/>
        <w:right w:val="none" w:sz="0" w:space="0" w:color="auto"/>
      </w:divBdr>
      <w:divsChild>
        <w:div w:id="1340351422">
          <w:marLeft w:val="0"/>
          <w:marRight w:val="0"/>
          <w:marTop w:val="0"/>
          <w:marBottom w:val="0"/>
          <w:divBdr>
            <w:top w:val="none" w:sz="0" w:space="0" w:color="auto"/>
            <w:left w:val="none" w:sz="0" w:space="0" w:color="auto"/>
            <w:bottom w:val="none" w:sz="0" w:space="0" w:color="auto"/>
            <w:right w:val="none" w:sz="0" w:space="0" w:color="auto"/>
          </w:divBdr>
        </w:div>
      </w:divsChild>
    </w:div>
    <w:div w:id="1223566881">
      <w:marLeft w:val="0"/>
      <w:marRight w:val="0"/>
      <w:marTop w:val="0"/>
      <w:marBottom w:val="0"/>
      <w:divBdr>
        <w:top w:val="none" w:sz="0" w:space="0" w:color="auto"/>
        <w:left w:val="none" w:sz="0" w:space="0" w:color="auto"/>
        <w:bottom w:val="none" w:sz="0" w:space="0" w:color="auto"/>
        <w:right w:val="none" w:sz="0" w:space="0" w:color="auto"/>
      </w:divBdr>
    </w:div>
    <w:div w:id="1339381855">
      <w:marLeft w:val="0"/>
      <w:marRight w:val="0"/>
      <w:marTop w:val="0"/>
      <w:marBottom w:val="0"/>
      <w:divBdr>
        <w:top w:val="single" w:sz="12" w:space="0" w:color="7DB8E0"/>
        <w:left w:val="none" w:sz="0" w:space="0" w:color="auto"/>
        <w:bottom w:val="none" w:sz="0" w:space="0" w:color="auto"/>
        <w:right w:val="none" w:sz="0" w:space="0" w:color="auto"/>
      </w:divBdr>
    </w:div>
    <w:div w:id="1567178540">
      <w:marLeft w:val="0"/>
      <w:marRight w:val="0"/>
      <w:marTop w:val="0"/>
      <w:marBottom w:val="0"/>
      <w:divBdr>
        <w:top w:val="none" w:sz="0" w:space="0" w:color="auto"/>
        <w:left w:val="single" w:sz="24" w:space="0" w:color="0066B3"/>
        <w:bottom w:val="none" w:sz="0" w:space="0" w:color="auto"/>
        <w:right w:val="none" w:sz="0" w:space="0" w:color="auto"/>
      </w:divBdr>
      <w:divsChild>
        <w:div w:id="335694695">
          <w:marLeft w:val="0"/>
          <w:marRight w:val="0"/>
          <w:marTop w:val="0"/>
          <w:marBottom w:val="0"/>
          <w:divBdr>
            <w:top w:val="none" w:sz="0" w:space="0" w:color="auto"/>
            <w:left w:val="none" w:sz="0" w:space="0" w:color="auto"/>
            <w:bottom w:val="none" w:sz="0" w:space="0" w:color="auto"/>
            <w:right w:val="none" w:sz="0" w:space="0" w:color="auto"/>
          </w:divBdr>
        </w:div>
      </w:divsChild>
    </w:div>
    <w:div w:id="1635676985">
      <w:marLeft w:val="0"/>
      <w:marRight w:val="0"/>
      <w:marTop w:val="0"/>
      <w:marBottom w:val="0"/>
      <w:divBdr>
        <w:top w:val="none" w:sz="0" w:space="0" w:color="auto"/>
        <w:left w:val="none" w:sz="0" w:space="0" w:color="auto"/>
        <w:bottom w:val="none" w:sz="0" w:space="0" w:color="auto"/>
        <w:right w:val="none" w:sz="0" w:space="0" w:color="auto"/>
      </w:divBdr>
    </w:div>
    <w:div w:id="1777098002">
      <w:marLeft w:val="0"/>
      <w:marRight w:val="0"/>
      <w:marTop w:val="0"/>
      <w:marBottom w:val="0"/>
      <w:divBdr>
        <w:top w:val="none" w:sz="0" w:space="0" w:color="auto"/>
        <w:left w:val="single" w:sz="24" w:space="0" w:color="0066B3"/>
        <w:bottom w:val="none" w:sz="0" w:space="0" w:color="auto"/>
        <w:right w:val="none" w:sz="0" w:space="0" w:color="auto"/>
      </w:divBdr>
      <w:divsChild>
        <w:div w:id="1693917462">
          <w:marLeft w:val="0"/>
          <w:marRight w:val="0"/>
          <w:marTop w:val="0"/>
          <w:marBottom w:val="0"/>
          <w:divBdr>
            <w:top w:val="none" w:sz="0" w:space="0" w:color="auto"/>
            <w:left w:val="none" w:sz="0" w:space="0" w:color="auto"/>
            <w:bottom w:val="none" w:sz="0" w:space="0" w:color="auto"/>
            <w:right w:val="none" w:sz="0" w:space="0" w:color="auto"/>
          </w:divBdr>
        </w:div>
      </w:divsChild>
    </w:div>
    <w:div w:id="1834449230">
      <w:marLeft w:val="0"/>
      <w:marRight w:val="0"/>
      <w:marTop w:val="0"/>
      <w:marBottom w:val="0"/>
      <w:divBdr>
        <w:top w:val="none" w:sz="0" w:space="0" w:color="auto"/>
        <w:left w:val="single" w:sz="24" w:space="0" w:color="0066B3"/>
        <w:bottom w:val="none" w:sz="0" w:space="0" w:color="auto"/>
        <w:right w:val="none" w:sz="0" w:space="0" w:color="auto"/>
      </w:divBdr>
      <w:divsChild>
        <w:div w:id="712851583">
          <w:marLeft w:val="0"/>
          <w:marRight w:val="0"/>
          <w:marTop w:val="0"/>
          <w:marBottom w:val="0"/>
          <w:divBdr>
            <w:top w:val="none" w:sz="0" w:space="0" w:color="auto"/>
            <w:left w:val="none" w:sz="0" w:space="0" w:color="auto"/>
            <w:bottom w:val="none" w:sz="0" w:space="0" w:color="auto"/>
            <w:right w:val="none" w:sz="0" w:space="0" w:color="auto"/>
          </w:divBdr>
        </w:div>
      </w:divsChild>
    </w:div>
    <w:div w:id="1894778909">
      <w:marLeft w:val="0"/>
      <w:marRight w:val="0"/>
      <w:marTop w:val="0"/>
      <w:marBottom w:val="0"/>
      <w:divBdr>
        <w:top w:val="none" w:sz="0" w:space="0" w:color="auto"/>
        <w:left w:val="single" w:sz="24" w:space="0" w:color="0066B3"/>
        <w:bottom w:val="none" w:sz="0" w:space="0" w:color="auto"/>
        <w:right w:val="none" w:sz="0" w:space="0" w:color="auto"/>
      </w:divBdr>
      <w:divsChild>
        <w:div w:id="1752703321">
          <w:marLeft w:val="0"/>
          <w:marRight w:val="0"/>
          <w:marTop w:val="0"/>
          <w:marBottom w:val="0"/>
          <w:divBdr>
            <w:top w:val="none" w:sz="0" w:space="0" w:color="auto"/>
            <w:left w:val="none" w:sz="0" w:space="0" w:color="auto"/>
            <w:bottom w:val="none" w:sz="0" w:space="0" w:color="auto"/>
            <w:right w:val="none" w:sz="0" w:space="0" w:color="auto"/>
          </w:divBdr>
        </w:div>
      </w:divsChild>
    </w:div>
    <w:div w:id="2094399811">
      <w:marLeft w:val="0"/>
      <w:marRight w:val="0"/>
      <w:marTop w:val="0"/>
      <w:marBottom w:val="0"/>
      <w:divBdr>
        <w:top w:val="none" w:sz="0" w:space="0" w:color="auto"/>
        <w:left w:val="single" w:sz="24" w:space="0" w:color="0066B3"/>
        <w:bottom w:val="none" w:sz="0" w:space="0" w:color="auto"/>
        <w:right w:val="none" w:sz="0" w:space="0" w:color="auto"/>
      </w:divBdr>
      <w:divsChild>
        <w:div w:id="689987457">
          <w:marLeft w:val="0"/>
          <w:marRight w:val="0"/>
          <w:marTop w:val="0"/>
          <w:marBottom w:val="0"/>
          <w:divBdr>
            <w:top w:val="none" w:sz="0" w:space="0" w:color="auto"/>
            <w:left w:val="none" w:sz="0" w:space="0" w:color="auto"/>
            <w:bottom w:val="none" w:sz="0" w:space="0" w:color="auto"/>
            <w:right w:val="none" w:sz="0" w:space="0" w:color="auto"/>
          </w:divBdr>
        </w:div>
      </w:divsChild>
    </w:div>
    <w:div w:id="2136024001">
      <w:marLeft w:val="0"/>
      <w:marRight w:val="0"/>
      <w:marTop w:val="0"/>
      <w:marBottom w:val="0"/>
      <w:divBdr>
        <w:top w:val="none" w:sz="0" w:space="0" w:color="auto"/>
        <w:left w:val="single" w:sz="24" w:space="0" w:color="0066B3"/>
        <w:bottom w:val="none" w:sz="0" w:space="0" w:color="auto"/>
        <w:right w:val="none" w:sz="0" w:space="0" w:color="auto"/>
      </w:divBdr>
      <w:divsChild>
        <w:div w:id="87531808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file:////Users/edwinmatlapeng/dotnet/dwa_val-ver/dwa_ver_val%20ai/docs/wireframes/workflow-screenshots/image3.pn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6266</Words>
  <Characters>35719</Characters>
  <Application>Microsoft Office Word</Application>
  <DocSecurity>0</DocSecurity>
  <Lines>297</Lines>
  <Paragraphs>83</Paragraphs>
  <ScaleCrop>false</ScaleCrop>
  <Company/>
  <LinksUpToDate>false</LinksUpToDate>
  <CharactersWithSpaces>41902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V&amp;V System — Workflow &amp; Process Design</dc:title>
  <dc:subject/>
  <dc:creator>Edwin Matlapeng</dc:creator>
  <cp:keywords/>
  <dc:description/>
  <cp:lastModifiedBy>Edwin Matlapeng</cp:lastModifiedBy>
  <cp:revision>2</cp:revision>
  <dcterms:created xsi:type="dcterms:W3CDTF">2026-03-25T11:46:00Z</dcterms:created>
  <dcterms:modified xsi:type="dcterms:W3CDTF">2026-03-25T11:46:00Z</dcterms:modified>
</cp:coreProperties>
</file>