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Short-Term LLM Workload Prediction for Adaptive Cloud Computing</w:t>
      </w:r>
    </w:p>
    <w:p>
      <w:pPr>
        <w:jc w:val="center"/>
      </w:pPr>
      <w:r>
        <w:rPr>
          <w:b/>
          <w:sz w:val="24"/>
        </w:rPr>
        <w:t>Implementation Progress Report — From Dataset Validation to Downstream Robustness</w:t>
      </w:r>
    </w:p>
    <w:p>
      <w:pPr>
        <w:jc w:val="center"/>
      </w:pPr>
      <w:r>
        <w:rPr>
          <w:i/>
        </w:rPr>
        <w:t>Purpose: Team-member and faculty evaluation / progress explanation</w:t>
      </w:r>
    </w:p>
    <w:p>
      <w:pPr>
        <w:pStyle w:val="Heading1"/>
      </w:pPr>
      <w:r>
        <w:t>1. Executive Summary</w:t>
      </w:r>
    </w:p>
    <w:p>
      <w:r>
        <w:t>This project investigates short-term capacity planning for bursty LLM workloads. The implementation combines two research directions: Paper 3's short-term workload forecasting and change-point detection, and Paper 4's trace-based failure-risk modeling. The workload forecast is used as the primary capacity signal, while predicted failure risk controls an additional safety reserve. Four capacity policies are evaluated, followed by statistical testing, risk-feature ablation, and change-point sensitivity/downstream robustness analysis.</w:t>
      </w:r>
    </w:p>
    <w:p>
      <w:r>
        <w:t>The implementation is now complete through Module 18. The experiments were run chronologically, with locked test partitions and causal feature construction. Importantly, the current results do not show a statistically significant capacity improvement from the proposed adaptive/change-point-reset controller. This is retained as an experimental finding rather than being altered to produce a favorable result.</w:t>
      </w:r>
    </w:p>
    <w:p>
      <w:pPr>
        <w:pStyle w:val="Heading1"/>
      </w:pPr>
      <w:r>
        <w:t>2. Research Problem</w:t>
      </w:r>
    </w:p>
    <w:p>
      <w:r>
        <w:t>LLM inference workloads can vary rapidly and exhibit bursts. A cloud system must estimate upcoming workload and decide how much capacity to provision. Workload magnitude alone does not directly represent reliability risk. The research therefore evaluates whether short-term workload forecasting combined with trace-defined failure-risk prediction can support risk-aware capacity planning, and whether adaptive risk thresholds and change-point-based resets affect this trade-off.</w:t>
      </w:r>
    </w:p>
    <w:p>
      <w:pPr>
        <w:pStyle w:val="Heading1"/>
      </w:pPr>
      <w:r>
        <w:t>3. Dataset and Time Views</w:t>
      </w:r>
    </w:p>
    <w:p>
      <w:r>
        <w:t>The implementation uses BurstGPT traces. The pipeline constructs two time resolutions: a five-minute view for workload forecasting/capacity simulation and a minute-level view for failure-risk modeling.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View</w:t>
            </w:r>
          </w:p>
        </w:tc>
        <w:tc>
          <w:tcPr>
            <w:tcW w:type="dxa" w:w="3408"/>
          </w:tcPr>
          <w:p>
            <w:r>
              <w:t>Size</w:t>
            </w:r>
          </w:p>
        </w:tc>
        <w:tc>
          <w:tcPr>
            <w:tcW w:type="dxa" w:w="3408"/>
          </w:tcPr>
          <w:p>
            <w:r>
              <w:t>Purpose</w:t>
            </w:r>
          </w:p>
        </w:tc>
      </w:tr>
      <w:tr>
        <w:tc>
          <w:tcPr>
            <w:tcW w:type="dxa" w:w="3408"/>
          </w:tcPr>
          <w:p>
            <w:r>
              <w:t>Five-minute view</w:t>
            </w:r>
          </w:p>
        </w:tc>
        <w:tc>
          <w:tcPr>
            <w:tcW w:type="dxa" w:w="3408"/>
          </w:tcPr>
          <w:p>
            <w:r>
              <w:t>17,566 intervals</w:t>
            </w:r>
          </w:p>
        </w:tc>
        <w:tc>
          <w:tcPr>
            <w:tcW w:type="dxa" w:w="3408"/>
          </w:tcPr>
          <w:p>
            <w:r>
              <w:t>Request count, request tokens, response tokens, total tokens, zero-response records</w:t>
            </w:r>
          </w:p>
        </w:tc>
      </w:tr>
      <w:tr>
        <w:tc>
          <w:tcPr>
            <w:tcW w:type="dxa" w:w="3408"/>
          </w:tcPr>
          <w:p>
            <w:r>
              <w:t>Minute view</w:t>
            </w:r>
          </w:p>
        </w:tc>
        <w:tc>
          <w:tcPr>
            <w:tcW w:type="dxa" w:w="3408"/>
          </w:tcPr>
          <w:p>
            <w:r>
              <w:t>87,833 observed minute indices</w:t>
            </w:r>
          </w:p>
        </w:tc>
        <w:tc>
          <w:tcPr>
            <w:tcW w:type="dxa" w:w="3408"/>
          </w:tcPr>
          <w:p>
            <w:r>
              <w:t>Request count, completed tokens, GPT-4 share, API share, zero-response information</w:t>
            </w:r>
          </w:p>
        </w:tc>
      </w:tr>
    </w:tbl>
    <w:p>
      <w:pPr>
        <w:pStyle w:val="Heading1"/>
      </w:pPr>
      <w:r>
        <w:t>4. End-to-End Implementation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Module</w:t>
            </w:r>
          </w:p>
        </w:tc>
        <w:tc>
          <w:tcPr>
            <w:tcW w:type="dxa" w:w="2556"/>
          </w:tcPr>
          <w:p>
            <w:r>
              <w:t>Implementation</w:t>
            </w:r>
          </w:p>
        </w:tc>
        <w:tc>
          <w:tcPr>
            <w:tcW w:type="dxa" w:w="2556"/>
          </w:tcPr>
          <w:p>
            <w:r>
              <w:t>What was done</w:t>
            </w:r>
          </w:p>
        </w:tc>
        <w:tc>
          <w:tcPr>
            <w:tcW w:type="dxa" w:w="2556"/>
          </w:tcPr>
          <w:p>
            <w:r>
              <w:t>Status</w:t>
            </w:r>
          </w:p>
        </w:tc>
      </w:tr>
      <w:tr>
        <w:tc>
          <w:tcPr>
            <w:tcW w:type="dxa" w:w="2556"/>
          </w:tcPr>
          <w:p>
            <w:r>
              <w:t>01</w:t>
            </w:r>
          </w:p>
        </w:tc>
        <w:tc>
          <w:tcPr>
            <w:tcW w:type="dxa" w:w="2556"/>
          </w:tcPr>
          <w:p>
            <w:r>
              <w:t>Data validation</w:t>
            </w:r>
          </w:p>
        </w:tc>
        <w:tc>
          <w:tcPr>
            <w:tcW w:type="dxa" w:w="2556"/>
          </w:tcPr>
          <w:p>
            <w:r>
              <w:t>Validated the raw BurstGPT input and basic data integrity before modeling.</w:t>
            </w:r>
          </w:p>
        </w:tc>
        <w:tc>
          <w:tcPr>
            <w:tcW w:type="dxa" w:w="2556"/>
          </w:tcPr>
          <w:p>
            <w:r>
              <w:t>PASS</w:t>
            </w:r>
          </w:p>
        </w:tc>
      </w:tr>
      <w:tr>
        <w:tc>
          <w:tcPr>
            <w:tcW w:type="dxa" w:w="2556"/>
          </w:tcPr>
          <w:p>
            <w:r>
              <w:t>02</w:t>
            </w:r>
          </w:p>
        </w:tc>
        <w:tc>
          <w:tcPr>
            <w:tcW w:type="dxa" w:w="2556"/>
          </w:tcPr>
          <w:p>
            <w:r>
              <w:t>Build time views</w:t>
            </w:r>
          </w:p>
        </w:tc>
        <w:tc>
          <w:tcPr>
            <w:tcW w:type="dxa" w:w="2556"/>
          </w:tcPr>
          <w:p>
            <w:r>
              <w:t>Constructed minute and five-minute workload views. Five-minute view contains 17,566 intervals.</w:t>
            </w:r>
          </w:p>
        </w:tc>
        <w:tc>
          <w:tcPr>
            <w:tcW w:type="dxa" w:w="2556"/>
          </w:tcPr>
          <w:p>
            <w:r>
              <w:t>PASS</w:t>
            </w:r>
          </w:p>
        </w:tc>
      </w:tr>
      <w:tr>
        <w:tc>
          <w:tcPr>
            <w:tcW w:type="dxa" w:w="2556"/>
          </w:tcPr>
          <w:p>
            <w:r>
              <w:t>03</w:t>
            </w:r>
          </w:p>
        </w:tc>
        <w:tc>
          <w:tcPr>
            <w:tcW w:type="dxa" w:w="2556"/>
          </w:tcPr>
          <w:p>
            <w:r>
              <w:t>Change-point detector</w:t>
            </w:r>
          </w:p>
        </w:tc>
        <w:tc>
          <w:tcPr>
            <w:tcW w:type="dxa" w:w="2556"/>
          </w:tcPr>
          <w:p>
            <w:r>
              <w:t>Implemented Paper 3-style robust change-point detection using short/long logged workload statistics, robust scale, training-derived threshold, absolute shift and minimum alarm gap.</w:t>
            </w:r>
          </w:p>
        </w:tc>
        <w:tc>
          <w:tcPr>
            <w:tcW w:type="dxa" w:w="2556"/>
          </w:tcPr>
          <w:p>
            <w:r>
              <w:t>PASS</w:t>
            </w:r>
          </w:p>
        </w:tc>
      </w:tr>
      <w:tr>
        <w:tc>
          <w:tcPr>
            <w:tcW w:type="dxa" w:w="2556"/>
          </w:tcPr>
          <w:p>
            <w:r>
              <w:t>04</w:t>
            </w:r>
          </w:p>
        </w:tc>
        <w:tc>
          <w:tcPr>
            <w:tcW w:type="dxa" w:w="2556"/>
          </w:tcPr>
          <w:p>
            <w:r>
              <w:t>Workload features</w:t>
            </w:r>
          </w:p>
        </w:tc>
        <w:tc>
          <w:tcPr>
            <w:tcW w:type="dxa" w:w="2556"/>
          </w:tcPr>
          <w:p>
            <w:r>
              <w:t>Built causal lag, rolling, calendar and change-point features for HGB/CP-HGB forecasting.</w:t>
            </w:r>
          </w:p>
        </w:tc>
        <w:tc>
          <w:tcPr>
            <w:tcW w:type="dxa" w:w="2556"/>
          </w:tcPr>
          <w:p>
            <w:r>
              <w:t>PASS</w:t>
            </w:r>
          </w:p>
        </w:tc>
      </w:tr>
      <w:tr>
        <w:tc>
          <w:tcPr>
            <w:tcW w:type="dxa" w:w="2556"/>
          </w:tcPr>
          <w:p>
            <w:r>
              <w:t>05</w:t>
            </w:r>
          </w:p>
        </w:tc>
        <w:tc>
          <w:tcPr>
            <w:tcW w:type="dxa" w:w="2556"/>
          </w:tcPr>
          <w:p>
            <w:r>
              <w:t>Short-term workload forecasting</w:t>
            </w:r>
          </w:p>
        </w:tc>
        <w:tc>
          <w:tcPr>
            <w:tcW w:type="dxa" w:w="2556"/>
          </w:tcPr>
          <w:p>
            <w:r>
              <w:t>Implemented Paper 3 HGB and CP-HGB using chronological train/calibration/test partitions and log1p target transformation.</w:t>
            </w:r>
          </w:p>
        </w:tc>
        <w:tc>
          <w:tcPr>
            <w:tcW w:type="dxa" w:w="2556"/>
          </w:tcPr>
          <w:p>
            <w:r>
              <w:t>PASS</w:t>
            </w:r>
          </w:p>
        </w:tc>
      </w:tr>
      <w:tr>
        <w:tc>
          <w:tcPr>
            <w:tcW w:type="dxa" w:w="2556"/>
          </w:tcPr>
          <w:p>
            <w:r>
              <w:t>06</w:t>
            </w:r>
          </w:p>
        </w:tc>
        <w:tc>
          <w:tcPr>
            <w:tcW w:type="dxa" w:w="2556"/>
          </w:tcPr>
          <w:p>
            <w:r>
              <w:t>Failure-risk features</w:t>
            </w:r>
          </w:p>
        </w:tc>
        <w:tc>
          <w:tcPr>
            <w:tcW w:type="dxa" w:w="2556"/>
          </w:tcPr>
          <w:p>
            <w:r>
              <w:t>Implemented Paper 4-style 89-minute feature set from request count, completed tokens, GPT-4 share, API share and zero-response history.</w:t>
            </w:r>
          </w:p>
        </w:tc>
        <w:tc>
          <w:tcPr>
            <w:tcW w:type="dxa" w:w="2556"/>
          </w:tcPr>
          <w:p>
            <w:r>
              <w:t>PASS</w:t>
            </w:r>
          </w:p>
        </w:tc>
      </w:tr>
      <w:tr>
        <w:tc>
          <w:tcPr>
            <w:tcW w:type="dxa" w:w="2556"/>
          </w:tcPr>
          <w:p>
            <w:r>
              <w:t>07</w:t>
            </w:r>
          </w:p>
        </w:tc>
        <w:tc>
          <w:tcPr>
            <w:tcW w:type="dxa" w:w="2556"/>
          </w:tcPr>
          <w:p>
            <w:r>
              <w:t>Failure-risk model</w:t>
            </w:r>
          </w:p>
        </w:tc>
        <w:tc>
          <w:tcPr>
            <w:tcW w:type="dxa" w:w="2556"/>
          </w:tcPr>
          <w:p>
            <w:r>
              <w:t>Trained Paper 4-style XGBoost with chronological train/validation/calibration/test partitions. Test data was kept locked.</w:t>
            </w:r>
          </w:p>
        </w:tc>
        <w:tc>
          <w:tcPr>
            <w:tcW w:type="dxa" w:w="2556"/>
          </w:tcPr>
          <w:p>
            <w:r>
              <w:t>PASS</w:t>
            </w:r>
          </w:p>
        </w:tc>
      </w:tr>
      <w:tr>
        <w:tc>
          <w:tcPr>
            <w:tcW w:type="dxa" w:w="2556"/>
          </w:tcPr>
          <w:p>
            <w:r>
              <w:t>08</w:t>
            </w:r>
          </w:p>
        </w:tc>
        <w:tc>
          <w:tcPr>
            <w:tcW w:type="dxa" w:w="2556"/>
          </w:tcPr>
          <w:p>
            <w:r>
              <w:t>Probability calibration</w:t>
            </w:r>
          </w:p>
        </w:tc>
        <w:tc>
          <w:tcPr>
            <w:tcW w:type="dxa" w:w="2556"/>
          </w:tcPr>
          <w:p>
            <w:r>
              <w:t>Fitted isotonic calibration on the calibration partition; test data was not used for fitting.</w:t>
            </w:r>
          </w:p>
        </w:tc>
        <w:tc>
          <w:tcPr>
            <w:tcW w:type="dxa" w:w="2556"/>
          </w:tcPr>
          <w:p>
            <w:r>
              <w:t>PASS</w:t>
            </w:r>
          </w:p>
        </w:tc>
      </w:tr>
      <w:tr>
        <w:tc>
          <w:tcPr>
            <w:tcW w:type="dxa" w:w="2556"/>
          </w:tcPr>
          <w:p>
            <w:r>
              <w:t>09</w:t>
            </w:r>
          </w:p>
        </w:tc>
        <w:tc>
          <w:tcPr>
            <w:tcW w:type="dxa" w:w="2556"/>
          </w:tcPr>
          <w:p>
            <w:r>
              <w:t>Adaptive threshold</w:t>
            </w:r>
          </w:p>
        </w:tc>
        <w:tc>
          <w:tcPr>
            <w:tcW w:type="dxa" w:w="2556"/>
          </w:tcPr>
          <w:p>
            <w:r>
              <w:t>Implemented causal adaptive risk threshold with base threshold 0.9591, step 0.01, bounds 0.50–0.99 and a 60-minute historical window.</w:t>
            </w:r>
          </w:p>
        </w:tc>
        <w:tc>
          <w:tcPr>
            <w:tcW w:type="dxa" w:w="2556"/>
          </w:tcPr>
          <w:p>
            <w:r>
              <w:t>PASS</w:t>
            </w:r>
          </w:p>
        </w:tc>
      </w:tr>
      <w:tr>
        <w:tc>
          <w:tcPr>
            <w:tcW w:type="dxa" w:w="2556"/>
          </w:tcPr>
          <w:p>
            <w:r>
              <w:t>10</w:t>
            </w:r>
          </w:p>
        </w:tc>
        <w:tc>
          <w:tcPr>
            <w:tcW w:type="dxa" w:w="2556"/>
          </w:tcPr>
          <w:p>
            <w:r>
              <w:t>Capacity simulation</w:t>
            </w:r>
          </w:p>
        </w:tc>
        <w:tc>
          <w:tcPr>
            <w:tcW w:type="dxa" w:w="2556"/>
          </w:tcPr>
          <w:p>
            <w:r>
              <w:t>Connected CP-HGB forecast with risk signal and simulated four capacity policies using normalized workload capacity rather than claiming a universal token-to-GPU conversion.</w:t>
            </w:r>
          </w:p>
        </w:tc>
        <w:tc>
          <w:tcPr>
            <w:tcW w:type="dxa" w:w="2556"/>
          </w:tcPr>
          <w:p>
            <w:r>
              <w:t>PASS</w:t>
            </w:r>
          </w:p>
        </w:tc>
      </w:tr>
      <w:tr>
        <w:tc>
          <w:tcPr>
            <w:tcW w:type="dxa" w:w="2556"/>
          </w:tcPr>
          <w:p>
            <w:r>
              <w:t>11</w:t>
            </w:r>
          </w:p>
        </w:tc>
        <w:tc>
          <w:tcPr>
            <w:tcW w:type="dxa" w:w="2556"/>
          </w:tcPr>
          <w:p>
            <w:r>
              <w:t>Change-point reset</w:t>
            </w:r>
          </w:p>
        </w:tc>
        <w:tc>
          <w:tcPr>
            <w:tcW w:type="dxa" w:w="2556"/>
          </w:tcPr>
          <w:p>
            <w:r>
              <w:t>Implemented V4: adaptive threshold plus reset to the base threshold when a change-point alarm occurs.</w:t>
            </w:r>
          </w:p>
        </w:tc>
        <w:tc>
          <w:tcPr>
            <w:tcW w:type="dxa" w:w="2556"/>
          </w:tcPr>
          <w:p>
            <w:r>
              <w:t>PASS</w:t>
            </w:r>
          </w:p>
        </w:tc>
      </w:tr>
      <w:tr>
        <w:tc>
          <w:tcPr>
            <w:tcW w:type="dxa" w:w="2556"/>
          </w:tcPr>
          <w:p>
            <w:r>
              <w:t>12</w:t>
            </w:r>
          </w:p>
        </w:tc>
        <w:tc>
          <w:tcPr>
            <w:tcW w:type="dxa" w:w="2556"/>
          </w:tcPr>
          <w:p>
            <w:r>
              <w:t>Comprehensive evaluation</w:t>
            </w:r>
          </w:p>
        </w:tc>
        <w:tc>
          <w:tcPr>
            <w:tcW w:type="dxa" w:w="2556"/>
          </w:tcPr>
          <w:p>
            <w:r>
              <w:t>Calculated forecasting, risk and capacity metrics on locked test partitions.</w:t>
            </w:r>
          </w:p>
        </w:tc>
        <w:tc>
          <w:tcPr>
            <w:tcW w:type="dxa" w:w="2556"/>
          </w:tcPr>
          <w:p>
            <w:r>
              <w:t>PASS</w:t>
            </w:r>
          </w:p>
        </w:tc>
      </w:tr>
      <w:tr>
        <w:tc>
          <w:tcPr>
            <w:tcW w:type="dxa" w:w="2556"/>
          </w:tcPr>
          <w:p>
            <w:r>
              <w:t>13</w:t>
            </w:r>
          </w:p>
        </w:tc>
        <w:tc>
          <w:tcPr>
            <w:tcW w:type="dxa" w:w="2556"/>
          </w:tcPr>
          <w:p>
            <w:r>
              <w:t>Bootstrap tests</w:t>
            </w:r>
          </w:p>
        </w:tc>
        <w:tc>
          <w:tcPr>
            <w:tcW w:type="dxa" w:w="2556"/>
          </w:tcPr>
          <w:p>
            <w:r>
              <w:t>Performed 2,000 moving-block bootstrap replicates with block length 288, 95% CIs and Holm correction.</w:t>
            </w:r>
          </w:p>
        </w:tc>
        <w:tc>
          <w:tcPr>
            <w:tcW w:type="dxa" w:w="2556"/>
          </w:tcPr>
          <w:p>
            <w:r>
              <w:t>PASS</w:t>
            </w:r>
          </w:p>
        </w:tc>
      </w:tr>
      <w:tr>
        <w:tc>
          <w:tcPr>
            <w:tcW w:type="dxa" w:w="2556"/>
          </w:tcPr>
          <w:p>
            <w:r>
              <w:t>14</w:t>
            </w:r>
          </w:p>
        </w:tc>
        <w:tc>
          <w:tcPr>
            <w:tcW w:type="dxa" w:w="2556"/>
          </w:tcPr>
          <w:p>
            <w:r>
              <w:t>Figures</w:t>
            </w:r>
          </w:p>
        </w:tc>
        <w:tc>
          <w:tcPr>
            <w:tcW w:type="dxa" w:w="2556"/>
          </w:tcPr>
          <w:p>
            <w:r>
              <w:t>Generated 11 research figures covering forecasts, change points, risk, capacity, thresholds and bootstrap results.</w:t>
            </w:r>
          </w:p>
        </w:tc>
        <w:tc>
          <w:tcPr>
            <w:tcW w:type="dxa" w:w="2556"/>
          </w:tcPr>
          <w:p>
            <w:r>
              <w:t>PASS</w:t>
            </w:r>
          </w:p>
        </w:tc>
      </w:tr>
      <w:tr>
        <w:tc>
          <w:tcPr>
            <w:tcW w:type="dxa" w:w="2556"/>
          </w:tcPr>
          <w:p>
            <w:r>
              <w:t>15</w:t>
            </w:r>
          </w:p>
        </w:tc>
        <w:tc>
          <w:tcPr>
            <w:tcW w:type="dxa" w:w="2556"/>
          </w:tcPr>
          <w:p>
            <w:r>
              <w:t>Tables</w:t>
            </w:r>
          </w:p>
        </w:tc>
        <w:tc>
          <w:tcPr>
            <w:tcW w:type="dxa" w:w="2556"/>
          </w:tcPr>
          <w:p>
            <w:r>
              <w:t>Generated final result/configuration/policy/hypothesis tables.</w:t>
            </w:r>
          </w:p>
        </w:tc>
        <w:tc>
          <w:tcPr>
            <w:tcW w:type="dxa" w:w="2556"/>
          </w:tcPr>
          <w:p>
            <w:r>
              <w:t>PASS</w:t>
            </w:r>
          </w:p>
        </w:tc>
      </w:tr>
      <w:tr>
        <w:tc>
          <w:tcPr>
            <w:tcW w:type="dxa" w:w="2556"/>
          </w:tcPr>
          <w:p>
            <w:r>
              <w:t>16</w:t>
            </w:r>
          </w:p>
        </w:tc>
        <w:tc>
          <w:tcPr>
            <w:tcW w:type="dxa" w:w="2556"/>
          </w:tcPr>
          <w:p>
            <w:r>
              <w:t>Risk-feature ablation</w:t>
            </w:r>
          </w:p>
        </w:tc>
        <w:tc>
          <w:tcPr>
            <w:tcW w:type="dxa" w:w="2556"/>
          </w:tcPr>
          <w:p>
            <w:r>
              <w:t>Removed 17 historical zero-response features and retrained the controlled ablation model.</w:t>
            </w:r>
          </w:p>
        </w:tc>
        <w:tc>
          <w:tcPr>
            <w:tcW w:type="dxa" w:w="2556"/>
          </w:tcPr>
          <w:p>
            <w:r>
              <w:t>PASS</w:t>
            </w:r>
          </w:p>
        </w:tc>
      </w:tr>
      <w:tr>
        <w:tc>
          <w:tcPr>
            <w:tcW w:type="dxa" w:w="2556"/>
          </w:tcPr>
          <w:p>
            <w:r>
              <w:t>17</w:t>
            </w:r>
          </w:p>
        </w:tc>
        <w:tc>
          <w:tcPr>
            <w:tcW w:type="dxa" w:w="2556"/>
          </w:tcPr>
          <w:p>
            <w:r>
              <w:t>Change-point sensitivity</w:t>
            </w:r>
          </w:p>
        </w:tc>
        <w:tc>
          <w:tcPr>
            <w:tcW w:type="dxa" w:w="2556"/>
          </w:tcPr>
          <w:p>
            <w:r>
              <w:t>Evaluated 81 detector configurations over short window, long window, shift and alarm-gap settings.</w:t>
            </w:r>
          </w:p>
        </w:tc>
        <w:tc>
          <w:tcPr>
            <w:tcW w:type="dxa" w:w="2556"/>
          </w:tcPr>
          <w:p>
            <w:r>
              <w:t>PASS</w:t>
            </w:r>
          </w:p>
        </w:tc>
      </w:tr>
      <w:tr>
        <w:tc>
          <w:tcPr>
            <w:tcW w:type="dxa" w:w="2556"/>
          </w:tcPr>
          <w:p>
            <w:r>
              <w:t>18</w:t>
            </w:r>
          </w:p>
        </w:tc>
        <w:tc>
          <w:tcPr>
            <w:tcW w:type="dxa" w:w="2556"/>
          </w:tcPr>
          <w:p>
            <w:r>
              <w:t>Downstream robustness</w:t>
            </w:r>
          </w:p>
        </w:tc>
        <w:tc>
          <w:tcPr>
            <w:tcW w:type="dxa" w:w="2556"/>
          </w:tcPr>
          <w:p>
            <w:r>
              <w:t>Propagated selected change-point configurations into the V4 controller and evaluated locked-test downstream effects.</w:t>
            </w:r>
          </w:p>
        </w:tc>
        <w:tc>
          <w:tcPr>
            <w:tcW w:type="dxa" w:w="2556"/>
          </w:tcPr>
          <w:p>
            <w:r>
              <w:t>PASS</w:t>
            </w:r>
          </w:p>
        </w:tc>
      </w:tr>
    </w:tbl>
    <w:p>
      <w:pPr>
        <w:pStyle w:val="Heading1"/>
      </w:pPr>
      <w:r>
        <w:t>5. Train / Calibration / Test Design</w:t>
      </w:r>
    </w:p>
    <w:p>
      <w:r>
        <w:t>The implementation uses chronological partitions rather than random splitting. This is important because future workload/risk information must not influence past decisions.</w:t>
      </w:r>
    </w:p>
    <w:p>
      <w:pPr>
        <w:pStyle w:val="ListBullet"/>
      </w:pPr>
      <w:r>
        <w:t>Workload forecasting: train 12,384 intervals; calibration 2,592; test 2,590. Supervised test scoring uses 2,589 intervals because the final test interval has no future target.</w:t>
      </w:r>
    </w:p>
    <w:p>
      <w:pPr>
        <w:pStyle w:val="ListBullet"/>
      </w:pPr>
      <w:r>
        <w:t>Failure risk after warm-up: 86,393 usable minute rows; train 59,956; validation 6,393; calibration 6,393; locked test 13,651.</w:t>
      </w:r>
    </w:p>
    <w:p>
      <w:pPr>
        <w:pStyle w:val="ListBullet"/>
      </w:pPr>
      <w:r>
        <w:t>Change-point threshold is derived from the training block only.</w:t>
      </w:r>
    </w:p>
    <w:p>
      <w:pPr>
        <w:pStyle w:val="ListBullet"/>
      </w:pPr>
      <w:r>
        <w:t>Rolling features are shifted so future observations are not used at the forecast origin.</w:t>
      </w:r>
    </w:p>
    <w:p>
      <w:pPr>
        <w:pStyle w:val="ListBullet"/>
      </w:pPr>
      <w:r>
        <w:t>Test outcomes are not used for model fitting or controller parameter selection.</w:t>
      </w:r>
    </w:p>
    <w:p>
      <w:pPr>
        <w:pStyle w:val="Heading1"/>
      </w:pPr>
      <w:r>
        <w:t>6. Workload Forecasting Results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Model</w:t>
            </w:r>
          </w:p>
        </w:tc>
        <w:tc>
          <w:tcPr>
            <w:tcW w:type="dxa" w:w="1704"/>
          </w:tcPr>
          <w:p>
            <w:r>
              <w:t>Test rows</w:t>
            </w:r>
          </w:p>
        </w:tc>
        <w:tc>
          <w:tcPr>
            <w:tcW w:type="dxa" w:w="1704"/>
          </w:tcPr>
          <w:p>
            <w:r>
              <w:t>MAE</w:t>
            </w:r>
          </w:p>
        </w:tc>
        <w:tc>
          <w:tcPr>
            <w:tcW w:type="dxa" w:w="1704"/>
          </w:tcPr>
          <w:p>
            <w:r>
              <w:t>RMSE</w:t>
            </w:r>
          </w:p>
        </w:tc>
        <w:tc>
          <w:tcPr>
            <w:tcW w:type="dxa" w:w="1704"/>
          </w:tcPr>
          <w:p>
            <w:r>
              <w:t>WAPE</w:t>
            </w:r>
          </w:p>
        </w:tc>
        <w:tc>
          <w:tcPr>
            <w:tcW w:type="dxa" w:w="1704"/>
          </w:tcPr>
          <w:p>
            <w:r>
              <w:t>Mean bias</w:t>
            </w:r>
          </w:p>
        </w:tc>
      </w:tr>
      <w:tr>
        <w:tc>
          <w:tcPr>
            <w:tcW w:type="dxa" w:w="1704"/>
          </w:tcPr>
          <w:p>
            <w:r>
              <w:t>HGB</w:t>
            </w:r>
          </w:p>
        </w:tc>
        <w:tc>
          <w:tcPr>
            <w:tcW w:type="dxa" w:w="1704"/>
          </w:tcPr>
          <w:p>
            <w:r>
              <w:t>2,589</w:t>
            </w:r>
          </w:p>
        </w:tc>
        <w:tc>
          <w:tcPr>
            <w:tcW w:type="dxa" w:w="1704"/>
          </w:tcPr>
          <w:p>
            <w:r>
              <w:t>24,212.67</w:t>
            </w:r>
          </w:p>
        </w:tc>
        <w:tc>
          <w:tcPr>
            <w:tcW w:type="dxa" w:w="1704"/>
          </w:tcPr>
          <w:p>
            <w:r>
              <w:t>50,406.65</w:t>
            </w:r>
          </w:p>
        </w:tc>
        <w:tc>
          <w:tcPr>
            <w:tcW w:type="dxa" w:w="1704"/>
          </w:tcPr>
          <w:p>
            <w:r>
              <w:t>66.17%</w:t>
            </w:r>
          </w:p>
        </w:tc>
        <w:tc>
          <w:tcPr>
            <w:tcW w:type="dxa" w:w="1704"/>
          </w:tcPr>
          <w:p>
            <w:r>
              <w:t>−13,564.31</w:t>
            </w:r>
          </w:p>
        </w:tc>
      </w:tr>
      <w:tr>
        <w:tc>
          <w:tcPr>
            <w:tcW w:type="dxa" w:w="1704"/>
          </w:tcPr>
          <w:p>
            <w:r>
              <w:t>CP-HGB</w:t>
            </w:r>
          </w:p>
        </w:tc>
        <w:tc>
          <w:tcPr>
            <w:tcW w:type="dxa" w:w="1704"/>
          </w:tcPr>
          <w:p>
            <w:r>
              <w:t>2,589</w:t>
            </w:r>
          </w:p>
        </w:tc>
        <w:tc>
          <w:tcPr>
            <w:tcW w:type="dxa" w:w="1704"/>
          </w:tcPr>
          <w:p>
            <w:r>
              <w:t>24,866.51</w:t>
            </w:r>
          </w:p>
        </w:tc>
        <w:tc>
          <w:tcPr>
            <w:tcW w:type="dxa" w:w="1704"/>
          </w:tcPr>
          <w:p>
            <w:r>
              <w:t>51,567.02</w:t>
            </w:r>
          </w:p>
        </w:tc>
        <w:tc>
          <w:tcPr>
            <w:tcW w:type="dxa" w:w="1704"/>
          </w:tcPr>
          <w:p>
            <w:r>
              <w:t>67.96%</w:t>
            </w:r>
          </w:p>
        </w:tc>
        <w:tc>
          <w:tcPr>
            <w:tcW w:type="dxa" w:w="1704"/>
          </w:tcPr>
          <w:p>
            <w:r>
              <w:t>−15,192.99</w:t>
            </w:r>
          </w:p>
        </w:tc>
      </w:tr>
    </w:tbl>
    <w:p>
      <w:r>
        <w:t>On this locked test period, HGB has lower MAE and RMSE than CP-HGB. The MAE bootstrap comparison has raw p=0.019 but Holm-adjusted p=0.247, so it is not statistically significant after correction. The squared-error comparison is significant after Holm correction. These results do not justify claiming CP-HGB superiority.</w:t>
      </w:r>
    </w:p>
    <w:p>
      <w:pPr>
        <w:pStyle w:val="Heading1"/>
      </w:pPr>
      <w:r>
        <w:t>7. Failure-Risk Modeling Results</w:t>
      </w:r>
    </w:p>
    <w:p>
      <w:r>
        <w:t>The risk target is a trace-defined event: a minute is labeled as a failure minute if at least one raw request in that minute has zero response tokens. It is not interpreted as definitive proof of GPU overload or a specific infrastructure failure.</w:t>
      </w:r>
    </w:p>
    <w:p>
      <w:pPr>
        <w:pStyle w:val="ListBullet"/>
      </w:pPr>
      <w:r>
        <w:t>Locked test rows: 13,651</w:t>
      </w:r>
    </w:p>
    <w:p>
      <w:pPr>
        <w:pStyle w:val="ListBullet"/>
      </w:pPr>
      <w:r>
        <w:t>Failure prevalence: 1.3699%</w:t>
      </w:r>
    </w:p>
    <w:p>
      <w:pPr>
        <w:pStyle w:val="ListBullet"/>
      </w:pPr>
      <w:r>
        <w:t>ROC-AUC: 0.809889</w:t>
      </w:r>
    </w:p>
    <w:p>
      <w:pPr>
        <w:pStyle w:val="ListBullet"/>
      </w:pPr>
      <w:r>
        <w:t>Average Precision: 0.215190</w:t>
      </w:r>
    </w:p>
    <w:p>
      <w:pPr>
        <w:pStyle w:val="ListBullet"/>
      </w:pPr>
      <w:r>
        <w:t>Calibrated Brier score: 0.012544</w:t>
      </w:r>
    </w:p>
    <w:p>
      <w:pPr>
        <w:pStyle w:val="ListBullet"/>
      </w:pPr>
      <w:r>
        <w:t>10-bin ECE: 0.021143</w:t>
      </w:r>
    </w:p>
    <w:p>
      <w:pPr>
        <w:pStyle w:val="ListBullet"/>
      </w:pPr>
      <w:r>
        <w:t>Threshold 0.9591: precision 1.000, recall 0.0642, F1 0.1206</w:t>
      </w:r>
    </w:p>
    <w:p>
      <w:pPr>
        <w:pStyle w:val="Heading1"/>
      </w:pPr>
      <w:r>
        <w:t>8. Capacity Policies</w:t>
      </w:r>
    </w:p>
    <w:p>
      <w:r>
        <w:t>The four policies isolate the proposed controller components:</w:t>
      </w:r>
    </w:p>
    <w:p>
      <w:pPr>
        <w:pStyle w:val="ListBullet"/>
      </w:pPr>
      <w:r>
        <w:t>V1 — Forecast-only capacity; no risk reserve.</w:t>
      </w:r>
    </w:p>
    <w:p>
      <w:pPr>
        <w:pStyle w:val="ListBullet"/>
      </w:pPr>
      <w:r>
        <w:t>V2 — Forecast + fixed risk threshold + 10% reserve.</w:t>
      </w:r>
    </w:p>
    <w:p>
      <w:pPr>
        <w:pStyle w:val="ListBullet"/>
      </w:pPr>
      <w:r>
        <w:t>V3 — Forecast + adaptive risk threshold + 10% reserve.</w:t>
      </w:r>
    </w:p>
    <w:p>
      <w:pPr>
        <w:pStyle w:val="ListBullet"/>
      </w:pPr>
      <w:r>
        <w:t>V4 — Forecast + adaptive risk threshold + 10% reserve + change-point reset.</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Policy</w:t>
            </w:r>
          </w:p>
        </w:tc>
        <w:tc>
          <w:tcPr>
            <w:tcW w:type="dxa" w:w="1704"/>
          </w:tcPr>
          <w:p>
            <w:r>
              <w:t>Under-provisioned</w:t>
            </w:r>
          </w:p>
        </w:tc>
        <w:tc>
          <w:tcPr>
            <w:tcW w:type="dxa" w:w="1704"/>
          </w:tcPr>
          <w:p>
            <w:r>
              <w:t>Mean shortage</w:t>
            </w:r>
          </w:p>
        </w:tc>
        <w:tc>
          <w:tcPr>
            <w:tcW w:type="dxa" w:w="1704"/>
          </w:tcPr>
          <w:p>
            <w:r>
              <w:t>P95 shortage</w:t>
            </w:r>
          </w:p>
        </w:tc>
        <w:tc>
          <w:tcPr>
            <w:tcW w:type="dxa" w:w="1704"/>
          </w:tcPr>
          <w:p>
            <w:r>
              <w:t>Mean provisioned</w:t>
            </w:r>
          </w:p>
        </w:tc>
        <w:tc>
          <w:tcPr>
            <w:tcW w:type="dxa" w:w="1704"/>
          </w:tcPr>
          <w:p>
            <w:r>
              <w:t>Reserve activation</w:t>
            </w:r>
          </w:p>
        </w:tc>
      </w:tr>
      <w:tr>
        <w:tc>
          <w:tcPr>
            <w:tcW w:type="dxa" w:w="1704"/>
          </w:tcPr>
          <w:p>
            <w:r>
              <w:t>V1</w:t>
            </w:r>
          </w:p>
        </w:tc>
        <w:tc>
          <w:tcPr>
            <w:tcW w:type="dxa" w:w="1704"/>
          </w:tcPr>
          <w:p>
            <w:r>
              <w:t>56.4697%</w:t>
            </w:r>
          </w:p>
        </w:tc>
        <w:tc>
          <w:tcPr>
            <w:tcW w:type="dxa" w:w="1704"/>
          </w:tcPr>
          <w:p>
            <w:r>
              <w:t>20,029.75</w:t>
            </w:r>
          </w:p>
        </w:tc>
        <w:tc>
          <w:tcPr>
            <w:tcW w:type="dxa" w:w="1704"/>
          </w:tcPr>
          <w:p>
            <w:r>
              <w:t>113,332.91</w:t>
            </w:r>
          </w:p>
        </w:tc>
        <w:tc>
          <w:tcPr>
            <w:tcW w:type="dxa" w:w="1704"/>
          </w:tcPr>
          <w:p>
            <w:r>
              <w:t>21,396.90</w:t>
            </w:r>
          </w:p>
        </w:tc>
        <w:tc>
          <w:tcPr>
            <w:tcW w:type="dxa" w:w="1704"/>
          </w:tcPr>
          <w:p>
            <w:r>
              <w:t>0.0000%</w:t>
            </w:r>
          </w:p>
        </w:tc>
      </w:tr>
      <w:tr>
        <w:tc>
          <w:tcPr>
            <w:tcW w:type="dxa" w:w="1704"/>
          </w:tcPr>
          <w:p>
            <w:r>
              <w:t>V2</w:t>
            </w:r>
          </w:p>
        </w:tc>
        <w:tc>
          <w:tcPr>
            <w:tcW w:type="dxa" w:w="1704"/>
          </w:tcPr>
          <w:p>
            <w:r>
              <w:t>56.4697%</w:t>
            </w:r>
          </w:p>
        </w:tc>
        <w:tc>
          <w:tcPr>
            <w:tcW w:type="dxa" w:w="1704"/>
          </w:tcPr>
          <w:p>
            <w:r>
              <w:t>20,029.22</w:t>
            </w:r>
          </w:p>
        </w:tc>
        <w:tc>
          <w:tcPr>
            <w:tcW w:type="dxa" w:w="1704"/>
          </w:tcPr>
          <w:p>
            <w:r>
              <w:t>113,332.91</w:t>
            </w:r>
          </w:p>
        </w:tc>
        <w:tc>
          <w:tcPr>
            <w:tcW w:type="dxa" w:w="1704"/>
          </w:tcPr>
          <w:p>
            <w:r>
              <w:t>21,399.31</w:t>
            </w:r>
          </w:p>
        </w:tc>
        <w:tc>
          <w:tcPr>
            <w:tcW w:type="dxa" w:w="1704"/>
          </w:tcPr>
          <w:p>
            <w:r>
              <w:t>0.1545%</w:t>
            </w:r>
          </w:p>
        </w:tc>
      </w:tr>
      <w:tr>
        <w:tc>
          <w:tcPr>
            <w:tcW w:type="dxa" w:w="1704"/>
          </w:tcPr>
          <w:p>
            <w:r>
              <w:t>V3</w:t>
            </w:r>
          </w:p>
        </w:tc>
        <w:tc>
          <w:tcPr>
            <w:tcW w:type="dxa" w:w="1704"/>
          </w:tcPr>
          <w:p>
            <w:r>
              <w:t>56.4697%</w:t>
            </w:r>
          </w:p>
        </w:tc>
        <w:tc>
          <w:tcPr>
            <w:tcW w:type="dxa" w:w="1704"/>
          </w:tcPr>
          <w:p>
            <w:r>
              <w:t>20,029.22</w:t>
            </w:r>
          </w:p>
        </w:tc>
        <w:tc>
          <w:tcPr>
            <w:tcW w:type="dxa" w:w="1704"/>
          </w:tcPr>
          <w:p>
            <w:r>
              <w:t>113,332.91</w:t>
            </w:r>
          </w:p>
        </w:tc>
        <w:tc>
          <w:tcPr>
            <w:tcW w:type="dxa" w:w="1704"/>
          </w:tcPr>
          <w:p>
            <w:r>
              <w:t>21,400.24</w:t>
            </w:r>
          </w:p>
        </w:tc>
        <w:tc>
          <w:tcPr>
            <w:tcW w:type="dxa" w:w="1704"/>
          </w:tcPr>
          <w:p>
            <w:r>
              <w:t>0.1931%</w:t>
            </w:r>
          </w:p>
        </w:tc>
      </w:tr>
      <w:tr>
        <w:tc>
          <w:tcPr>
            <w:tcW w:type="dxa" w:w="1704"/>
          </w:tcPr>
          <w:p>
            <w:r>
              <w:t>V4</w:t>
            </w:r>
          </w:p>
        </w:tc>
        <w:tc>
          <w:tcPr>
            <w:tcW w:type="dxa" w:w="1704"/>
          </w:tcPr>
          <w:p>
            <w:r>
              <w:t>56.4697%</w:t>
            </w:r>
          </w:p>
        </w:tc>
        <w:tc>
          <w:tcPr>
            <w:tcW w:type="dxa" w:w="1704"/>
          </w:tcPr>
          <w:p>
            <w:r>
              <w:t>20,029.22</w:t>
            </w:r>
          </w:p>
        </w:tc>
        <w:tc>
          <w:tcPr>
            <w:tcW w:type="dxa" w:w="1704"/>
          </w:tcPr>
          <w:p>
            <w:r>
              <w:t>113,332.91</w:t>
            </w:r>
          </w:p>
        </w:tc>
        <w:tc>
          <w:tcPr>
            <w:tcW w:type="dxa" w:w="1704"/>
          </w:tcPr>
          <w:p>
            <w:r>
              <w:t>21,400.24</w:t>
            </w:r>
          </w:p>
        </w:tc>
        <w:tc>
          <w:tcPr>
            <w:tcW w:type="dxa" w:w="1704"/>
          </w:tcPr>
          <w:p>
            <w:r>
              <w:t>0.1931%</w:t>
            </w:r>
          </w:p>
        </w:tc>
      </w:tr>
    </w:tbl>
    <w:p>
      <w:r>
        <w:t>The key result is that V3 and V4 are identical on the aggregate locked-test capacity metrics. V4 therefore does not demonstrate a measurable aggregate capacity improvement over the simpler policies.</w:t>
      </w:r>
    </w:p>
    <w:p>
      <w:pPr>
        <w:pStyle w:val="Heading1"/>
      </w:pPr>
      <w:r>
        <w:t>9. Statistical Testing</w:t>
      </w:r>
    </w:p>
    <w:p>
      <w:r>
        <w:t>The evaluation uses 2,000 moving-block bootstrap replicates with a block length of 288 five-minute observations (one day), 95% confidence intervals and Holm multiple-comparison correction.</w:t>
      </w:r>
    </w:p>
    <w:p>
      <w:pPr>
        <w:pStyle w:val="ListBullet"/>
      </w:pPr>
      <w:r>
        <w:t>HGB vs CP-HGB MAE: observed difference −653.84; raw p=0.019; Holm-adjusted p=0.247.</w:t>
      </w:r>
    </w:p>
    <w:p>
      <w:pPr>
        <w:pStyle w:val="ListBullet"/>
      </w:pPr>
      <w:r>
        <w:t>V4 vs V1 mean shortage: difference −0.53; raw p=0.574; Holm-adjusted p=1.000.</w:t>
      </w:r>
    </w:p>
    <w:p>
      <w:pPr>
        <w:pStyle w:val="ListBullet"/>
      </w:pPr>
      <w:r>
        <w:t>V4 vs V2 and V4 vs V3: no statistically significant differences in the evaluated capacity metrics.</w:t>
      </w:r>
    </w:p>
    <w:p>
      <w:pPr>
        <w:pStyle w:val="Heading1"/>
      </w:pPr>
      <w:r>
        <w:t>10. Risk-Feature Ablation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Full 89 features</w:t>
            </w:r>
          </w:p>
        </w:tc>
        <w:tc>
          <w:tcPr>
            <w:tcW w:type="dxa" w:w="2556"/>
          </w:tcPr>
          <w:p>
            <w:r>
              <w:t>Ablation 72 features</w:t>
            </w:r>
          </w:p>
        </w:tc>
        <w:tc>
          <w:tcPr>
            <w:tcW w:type="dxa" w:w="2556"/>
          </w:tcPr>
          <w:p>
            <w:r>
              <w:t>Difference</w:t>
            </w:r>
          </w:p>
        </w:tc>
      </w:tr>
      <w:tr>
        <w:tc>
          <w:tcPr>
            <w:tcW w:type="dxa" w:w="2556"/>
          </w:tcPr>
          <w:p>
            <w:r>
              <w:t>ROC-AUC</w:t>
            </w:r>
          </w:p>
        </w:tc>
        <w:tc>
          <w:tcPr>
            <w:tcW w:type="dxa" w:w="2556"/>
          </w:tcPr>
          <w:p>
            <w:r>
              <w:t>0.8050</w:t>
            </w:r>
          </w:p>
        </w:tc>
        <w:tc>
          <w:tcPr>
            <w:tcW w:type="dxa" w:w="2556"/>
          </w:tcPr>
          <w:p>
            <w:r>
              <w:t>0.7120</w:t>
            </w:r>
          </w:p>
        </w:tc>
        <w:tc>
          <w:tcPr>
            <w:tcW w:type="dxa" w:w="2556"/>
          </w:tcPr>
          <w:p>
            <w:r>
              <w:t>−0.0930</w:t>
            </w:r>
          </w:p>
        </w:tc>
      </w:tr>
      <w:tr>
        <w:tc>
          <w:tcPr>
            <w:tcW w:type="dxa" w:w="2556"/>
          </w:tcPr>
          <w:p>
            <w:r>
              <w:t>Average Precision</w:t>
            </w:r>
          </w:p>
        </w:tc>
        <w:tc>
          <w:tcPr>
            <w:tcW w:type="dxa" w:w="2556"/>
          </w:tcPr>
          <w:p>
            <w:r>
              <w:t>0.1952</w:t>
            </w:r>
          </w:p>
        </w:tc>
        <w:tc>
          <w:tcPr>
            <w:tcW w:type="dxa" w:w="2556"/>
          </w:tcPr>
          <w:p>
            <w:r>
              <w:t>0.0405</w:t>
            </w:r>
          </w:p>
        </w:tc>
        <w:tc>
          <w:tcPr>
            <w:tcW w:type="dxa" w:w="2556"/>
          </w:tcPr>
          <w:p>
            <w:r>
              <w:t>−0.1546</w:t>
            </w:r>
          </w:p>
        </w:tc>
      </w:tr>
      <w:tr>
        <w:tc>
          <w:tcPr>
            <w:tcW w:type="dxa" w:w="2556"/>
          </w:tcPr>
          <w:p>
            <w:r>
              <w:t>Brier calibrated</w:t>
            </w:r>
          </w:p>
        </w:tc>
        <w:tc>
          <w:tcPr>
            <w:tcW w:type="dxa" w:w="2556"/>
          </w:tcPr>
          <w:p>
            <w:r>
              <w:t>0.01265</w:t>
            </w:r>
          </w:p>
        </w:tc>
        <w:tc>
          <w:tcPr>
            <w:tcW w:type="dxa" w:w="2556"/>
          </w:tcPr>
          <w:p>
            <w:r>
              <w:t>0.01552</w:t>
            </w:r>
          </w:p>
        </w:tc>
        <w:tc>
          <w:tcPr>
            <w:tcW w:type="dxa" w:w="2556"/>
          </w:tcPr>
          <w:p>
            <w:r>
              <w:t>+0.00287</w:t>
            </w:r>
          </w:p>
        </w:tc>
      </w:tr>
      <w:tr>
        <w:tc>
          <w:tcPr>
            <w:tcW w:type="dxa" w:w="2556"/>
          </w:tcPr>
          <w:p>
            <w:r>
              <w:t>ECE</w:t>
            </w:r>
          </w:p>
        </w:tc>
        <w:tc>
          <w:tcPr>
            <w:tcW w:type="dxa" w:w="2556"/>
          </w:tcPr>
          <w:p>
            <w:r>
              <w:t>0.01990</w:t>
            </w:r>
          </w:p>
        </w:tc>
        <w:tc>
          <w:tcPr>
            <w:tcW w:type="dxa" w:w="2556"/>
          </w:tcPr>
          <w:p>
            <w:r>
              <w:t>0.03018</w:t>
            </w:r>
          </w:p>
        </w:tc>
        <w:tc>
          <w:tcPr>
            <w:tcW w:type="dxa" w:w="2556"/>
          </w:tcPr>
          <w:p>
            <w:r>
              <w:t>+0.01028</w:t>
            </w:r>
          </w:p>
        </w:tc>
      </w:tr>
    </w:tbl>
    <w:p>
      <w:r>
        <w:t>The controlled ablation indicates that historical zero-response features materially contribute to risk prediction on this dataset and test period. This should not be generalized as a universal requirement.</w:t>
      </w:r>
    </w:p>
    <w:p>
      <w:pPr>
        <w:pStyle w:val="Heading1"/>
      </w:pPr>
      <w:r>
        <w:t>11. Change-Point Sensitivity and Robustness</w:t>
      </w:r>
    </w:p>
    <w:p>
      <w:r>
        <w:t>Module 17 evaluated 81 change-point configurations. Detector behavior changed substantially: the number of alarms varied across configurations, including values from 18 to 42 in the sensitivity grid. The absolute-log-shift values 0.05, 0.10 and 0.20 produced identical alarm counts for the same short/long/gap settings in this dataset.</w:t>
      </w:r>
    </w:p>
    <w:p>
      <w:r>
        <w:t>Module 18 propagated nine selected configurations into the downstream V4 controller. Although test alarm counts varied from 2 to 4 among the selected configurations, the locked-test capacity metrics remained identical: under-provisioned 56.4697%, mean shortage 20,029.2166 and reserve activation 0.1931%.</w:t>
      </w:r>
    </w:p>
    <w:p>
      <w:pPr>
        <w:pStyle w:val="Heading1"/>
      </w:pPr>
      <w:r>
        <w:t>12. Hypothesis Status</w:t>
      </w:r>
    </w:p>
    <w:tbl>
      <w:tblPr>
        <w:tblStyle w:val="TableGrid"/>
        <w:tblW w:type="auto" w:w="0"/>
        <w:tblLook w:firstColumn="1" w:firstRow="1" w:lastColumn="0" w:lastRow="0" w:noHBand="0" w:noVBand="1" w:val="04A0"/>
      </w:tblPr>
      <w:tblGrid>
        <w:gridCol w:w="3408"/>
        <w:gridCol w:w="3408"/>
        <w:gridCol w:w="3408"/>
      </w:tblGrid>
      <w:tr>
        <w:tc>
          <w:tcPr>
            <w:tcW w:type="dxa" w:w="3408"/>
          </w:tcPr>
          <w:p>
            <w:r>
              <w:t>Hypothesis</w:t>
            </w:r>
          </w:p>
        </w:tc>
        <w:tc>
          <w:tcPr>
            <w:tcW w:type="dxa" w:w="3408"/>
          </w:tcPr>
          <w:p>
            <w:r>
              <w:t>Current evidence</w:t>
            </w:r>
          </w:p>
        </w:tc>
        <w:tc>
          <w:tcPr>
            <w:tcW w:type="dxa" w:w="3408"/>
          </w:tcPr>
          <w:p>
            <w:r>
              <w:t>Status</w:t>
            </w:r>
          </w:p>
        </w:tc>
      </w:tr>
      <w:tr>
        <w:tc>
          <w:tcPr>
            <w:tcW w:type="dxa" w:w="3408"/>
          </w:tcPr>
          <w:p>
            <w:r>
              <w:t>H1</w:t>
            </w:r>
          </w:p>
        </w:tc>
        <w:tc>
          <w:tcPr>
            <w:tcW w:type="dxa" w:w="3408"/>
          </w:tcPr>
          <w:p>
            <w:r>
              <w:t>HGB and CP-HGB differ descriptively; MAE difference is not significant after Holm correction.</w:t>
            </w:r>
          </w:p>
        </w:tc>
        <w:tc>
          <w:tcPr>
            <w:tcW w:type="dxa" w:w="3408"/>
          </w:tcPr>
          <w:p>
            <w:r>
              <w:t>Mixed / not conclusively supported</w:t>
            </w:r>
          </w:p>
        </w:tc>
      </w:tr>
      <w:tr>
        <w:tc>
          <w:tcPr>
            <w:tcW w:type="dxa" w:w="3408"/>
          </w:tcPr>
          <w:p>
            <w:r>
              <w:t>H2</w:t>
            </w:r>
          </w:p>
        </w:tc>
        <w:tc>
          <w:tcPr>
            <w:tcW w:type="dxa" w:w="3408"/>
          </w:tcPr>
          <w:p>
            <w:r>
              <w:t>V2 and V3 have small descriptive differences, but no significant locked-test capacity difference.</w:t>
            </w:r>
          </w:p>
        </w:tc>
        <w:tc>
          <w:tcPr>
            <w:tcW w:type="dxa" w:w="3408"/>
          </w:tcPr>
          <w:p>
            <w:r>
              <w:t>Not statistically supported</w:t>
            </w:r>
          </w:p>
        </w:tc>
      </w:tr>
      <w:tr>
        <w:tc>
          <w:tcPr>
            <w:tcW w:type="dxa" w:w="3408"/>
          </w:tcPr>
          <w:p>
            <w:r>
              <w:t>H3</w:t>
            </w:r>
          </w:p>
        </w:tc>
        <w:tc>
          <w:tcPr>
            <w:tcW w:type="dxa" w:w="3408"/>
          </w:tcPr>
          <w:p>
            <w:r>
              <w:t>V3 and V4 have identical aggregate locked-test capacity results; robustness confirms downstream invariance.</w:t>
            </w:r>
          </w:p>
        </w:tc>
        <w:tc>
          <w:tcPr>
            <w:tcW w:type="dxa" w:w="3408"/>
          </w:tcPr>
          <w:p>
            <w:r>
              <w:t>Not supported</w:t>
            </w:r>
          </w:p>
        </w:tc>
      </w:tr>
      <w:tr>
        <w:tc>
          <w:tcPr>
            <w:tcW w:type="dxa" w:w="3408"/>
          </w:tcPr>
          <w:p>
            <w:r>
              <w:t>H4</w:t>
            </w:r>
          </w:p>
        </w:tc>
        <w:tc>
          <w:tcPr>
            <w:tcW w:type="dxa" w:w="3408"/>
          </w:tcPr>
          <w:p>
            <w:r>
              <w:t>V4 has a very small descriptive shortage reduction versus V1, but it is not statistically significant.</w:t>
            </w:r>
          </w:p>
        </w:tc>
        <w:tc>
          <w:tcPr>
            <w:tcW w:type="dxa" w:w="3408"/>
          </w:tcPr>
          <w:p>
            <w:r>
              <w:t>Not statistically supported</w:t>
            </w:r>
          </w:p>
        </w:tc>
      </w:tr>
    </w:tbl>
    <w:p>
      <w:pPr>
        <w:pStyle w:val="Heading1"/>
      </w:pPr>
      <w:r>
        <w:t>13. What Is Reproduced vs. What Is Proposed</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Basis</w:t>
            </w:r>
          </w:p>
        </w:tc>
        <w:tc>
          <w:tcPr>
            <w:tcW w:type="dxa" w:w="3408"/>
          </w:tcPr>
          <w:p>
            <w:r>
              <w:t>Role in this project</w:t>
            </w:r>
          </w:p>
        </w:tc>
      </w:tr>
      <w:tr>
        <w:tc>
          <w:tcPr>
            <w:tcW w:type="dxa" w:w="3408"/>
          </w:tcPr>
          <w:p>
            <w:r>
              <w:t>Change-point detection</w:t>
            </w:r>
          </w:p>
        </w:tc>
        <w:tc>
          <w:tcPr>
            <w:tcW w:type="dxa" w:w="3408"/>
          </w:tcPr>
          <w:p>
            <w:r>
              <w:t>Paper 3</w:t>
            </w:r>
          </w:p>
        </w:tc>
        <w:tc>
          <w:tcPr>
            <w:tcW w:type="dxa" w:w="3408"/>
          </w:tcPr>
          <w:p>
            <w:r>
              <w:t>Reproduced methodological component used to identify workload regime shifts.</w:t>
            </w:r>
          </w:p>
        </w:tc>
      </w:tr>
      <w:tr>
        <w:tc>
          <w:tcPr>
            <w:tcW w:type="dxa" w:w="3408"/>
          </w:tcPr>
          <w:p>
            <w:r>
              <w:t>HGB / CP-HGB forecasting</w:t>
            </w:r>
          </w:p>
        </w:tc>
        <w:tc>
          <w:tcPr>
            <w:tcW w:type="dxa" w:w="3408"/>
          </w:tcPr>
          <w:p>
            <w:r>
              <w:t>Paper 3</w:t>
            </w:r>
          </w:p>
        </w:tc>
        <w:tc>
          <w:tcPr>
            <w:tcW w:type="dxa" w:w="3408"/>
          </w:tcPr>
          <w:p>
            <w:r>
              <w:t>Reproduced forecasting setup used as the primary workload signal.</w:t>
            </w:r>
          </w:p>
        </w:tc>
      </w:tr>
      <w:tr>
        <w:tc>
          <w:tcPr>
            <w:tcW w:type="dxa" w:w="3408"/>
          </w:tcPr>
          <w:p>
            <w:r>
              <w:t>89-feature risk representation</w:t>
            </w:r>
          </w:p>
        </w:tc>
        <w:tc>
          <w:tcPr>
            <w:tcW w:type="dxa" w:w="3408"/>
          </w:tcPr>
          <w:p>
            <w:r>
              <w:t>Paper 4</w:t>
            </w:r>
          </w:p>
        </w:tc>
        <w:tc>
          <w:tcPr>
            <w:tcW w:type="dxa" w:w="3408"/>
          </w:tcPr>
          <w:p>
            <w:r>
              <w:t>Reproduced Paper 4-style minute-level risk features.</w:t>
            </w:r>
          </w:p>
        </w:tc>
      </w:tr>
      <w:tr>
        <w:tc>
          <w:tcPr>
            <w:tcW w:type="dxa" w:w="3408"/>
          </w:tcPr>
          <w:p>
            <w:r>
              <w:t>XGBoost risk model</w:t>
            </w:r>
          </w:p>
        </w:tc>
        <w:tc>
          <w:tcPr>
            <w:tcW w:type="dxa" w:w="3408"/>
          </w:tcPr>
          <w:p>
            <w:r>
              <w:t>Paper 4</w:t>
            </w:r>
          </w:p>
        </w:tc>
        <w:tc>
          <w:tcPr>
            <w:tcW w:type="dxa" w:w="3408"/>
          </w:tcPr>
          <w:p>
            <w:r>
              <w:t>Reproduced selected Paper 4-style risk model configuration.</w:t>
            </w:r>
          </w:p>
        </w:tc>
      </w:tr>
      <w:tr>
        <w:tc>
          <w:tcPr>
            <w:tcW w:type="dxa" w:w="3408"/>
          </w:tcPr>
          <w:p>
            <w:r>
              <w:t>Isotonic calibration</w:t>
            </w:r>
          </w:p>
        </w:tc>
        <w:tc>
          <w:tcPr>
            <w:tcW w:type="dxa" w:w="3408"/>
          </w:tcPr>
          <w:p>
            <w:r>
              <w:t>Paper 4-related evaluation setup</w:t>
            </w:r>
          </w:p>
        </w:tc>
        <w:tc>
          <w:tcPr>
            <w:tcW w:type="dxa" w:w="3408"/>
          </w:tcPr>
          <w:p>
            <w:r>
              <w:t>Used to obtain calibrated risk probabilities.</w:t>
            </w:r>
          </w:p>
        </w:tc>
      </w:tr>
      <w:tr>
        <w:tc>
          <w:tcPr>
            <w:tcW w:type="dxa" w:w="3408"/>
          </w:tcPr>
          <w:p>
            <w:r>
              <w:t>Adaptive risk threshold</w:t>
            </w:r>
          </w:p>
        </w:tc>
        <w:tc>
          <w:tcPr>
            <w:tcW w:type="dxa" w:w="3408"/>
          </w:tcPr>
          <w:p>
            <w:r>
              <w:t>Proposed controller</w:t>
            </w:r>
          </w:p>
        </w:tc>
        <w:tc>
          <w:tcPr>
            <w:tcW w:type="dxa" w:w="3408"/>
          </w:tcPr>
          <w:p>
            <w:r>
              <w:t>Project-specific extension for dynamic reserve decisions.</w:t>
            </w:r>
          </w:p>
        </w:tc>
      </w:tr>
      <w:tr>
        <w:tc>
          <w:tcPr>
            <w:tcW w:type="dxa" w:w="3408"/>
          </w:tcPr>
          <w:p>
            <w:r>
              <w:t>Change-point threshold reset</w:t>
            </w:r>
          </w:p>
        </w:tc>
        <w:tc>
          <w:tcPr>
            <w:tcW w:type="dxa" w:w="3408"/>
          </w:tcPr>
          <w:p>
            <w:r>
              <w:t>Proposed controller</w:t>
            </w:r>
          </w:p>
        </w:tc>
        <w:tc>
          <w:tcPr>
            <w:tcW w:type="dxa" w:w="3408"/>
          </w:tcPr>
          <w:p>
            <w:r>
              <w:t>Project-specific extension connecting regime alarms to risk-threshold state.</w:t>
            </w:r>
          </w:p>
        </w:tc>
      </w:tr>
      <w:tr>
        <w:tc>
          <w:tcPr>
            <w:tcW w:type="dxa" w:w="3408"/>
          </w:tcPr>
          <w:p>
            <w:r>
              <w:t>V1–V4 policy comparison</w:t>
            </w:r>
          </w:p>
        </w:tc>
        <w:tc>
          <w:tcPr>
            <w:tcW w:type="dxa" w:w="3408"/>
          </w:tcPr>
          <w:p>
            <w:r>
              <w:t>Proposed experiment</w:t>
            </w:r>
          </w:p>
        </w:tc>
        <w:tc>
          <w:tcPr>
            <w:tcW w:type="dxa" w:w="3408"/>
          </w:tcPr>
          <w:p>
            <w:r>
              <w:t>Used to isolate forecasting, fixed risk, adaptation and reset effects.</w:t>
            </w:r>
          </w:p>
        </w:tc>
      </w:tr>
      <w:tr>
        <w:tc>
          <w:tcPr>
            <w:tcW w:type="dxa" w:w="3408"/>
          </w:tcPr>
          <w:p>
            <w:r>
              <w:t>Sensitivity + downstream robustness</w:t>
            </w:r>
          </w:p>
        </w:tc>
        <w:tc>
          <w:tcPr>
            <w:tcW w:type="dxa" w:w="3408"/>
          </w:tcPr>
          <w:p>
            <w:r>
              <w:t>Proposed experiment</w:t>
            </w:r>
          </w:p>
        </w:tc>
        <w:tc>
          <w:tcPr>
            <w:tcW w:type="dxa" w:w="3408"/>
          </w:tcPr>
          <w:p>
            <w:r>
              <w:t>Tests whether detector choices propagate to capacity outcomes.</w:t>
            </w:r>
          </w:p>
        </w:tc>
      </w:tr>
    </w:tbl>
    <w:p>
      <w:pPr>
        <w:pStyle w:val="Heading1"/>
      </w:pPr>
      <w:r>
        <w:t>14. What We Can and Cannot Claim</w:t>
      </w:r>
    </w:p>
    <w:p>
      <w:r>
        <w:rPr>
          <w:b/>
        </w:rPr>
        <w:t>Supported claims:</w:t>
      </w:r>
    </w:p>
    <w:p>
      <w:pPr>
        <w:pStyle w:val="ListBullet"/>
      </w:pPr>
      <w:r>
        <w:t>A short-term workload forecasting pipeline was implemented and evaluated on a locked chronological test period.</w:t>
      </w:r>
    </w:p>
    <w:p>
      <w:pPr>
        <w:pStyle w:val="ListBullet"/>
      </w:pPr>
      <w:r>
        <w:t>The Paper 4-style risk model achieved measurable discrimination on the current test period.</w:t>
      </w:r>
    </w:p>
    <w:p>
      <w:pPr>
        <w:pStyle w:val="ListBullet"/>
      </w:pPr>
      <w:r>
        <w:t>Risk-feature ablation shows that historical zero-response information contributes materially to prediction on this dataset.</w:t>
      </w:r>
    </w:p>
    <w:p>
      <w:pPr>
        <w:pStyle w:val="ListBullet"/>
      </w:pPr>
      <w:r>
        <w:t>Change-point detector parameters affect alarm frequency.</w:t>
      </w:r>
    </w:p>
    <w:p>
      <w:pPr>
        <w:pStyle w:val="ListBullet"/>
      </w:pPr>
      <w:r>
        <w:t>The evaluated change-point variations did not materially alter downstream locked-test capacity metrics.</w:t>
      </w:r>
    </w:p>
    <w:p>
      <w:r>
        <w:rPr>
          <w:b/>
        </w:rPr>
        <w:t>Claims not supported by the current evidence:</w:t>
      </w:r>
    </w:p>
    <w:p>
      <w:pPr>
        <w:pStyle w:val="ListBullet"/>
      </w:pPr>
      <w:r>
        <w:t>V4 significantly improves cloud capacity utilization.</w:t>
      </w:r>
    </w:p>
    <w:p>
      <w:pPr>
        <w:pStyle w:val="ListBullet"/>
      </w:pPr>
      <w:r>
        <w:t>Change-point resetting significantly reduces shortage.</w:t>
      </w:r>
    </w:p>
    <w:p>
      <w:pPr>
        <w:pStyle w:val="ListBullet"/>
      </w:pPr>
      <w:r>
        <w:t>CP-HGB is superior to HGB.</w:t>
      </w:r>
    </w:p>
    <w:p>
      <w:pPr>
        <w:pStyle w:val="ListBullet"/>
      </w:pPr>
      <w:r>
        <w:t>The controller has been proven to generalize to all LLM/cloud workloads.</w:t>
      </w:r>
    </w:p>
    <w:p>
      <w:pPr>
        <w:pStyle w:val="ListBullet"/>
      </w:pPr>
      <w:r>
        <w:t>A universal conversion from predicted tokens to GPU count has been established.</w:t>
      </w:r>
    </w:p>
    <w:p>
      <w:pPr>
        <w:pStyle w:val="Heading1"/>
      </w:pPr>
      <w:r>
        <w:t>15. Final Implementation Status</w:t>
      </w:r>
    </w:p>
    <w:p>
      <w:r>
        <w:t>Modules 01–18 have been executed successfully, including data validation, forecasting, risk modeling, calibration, capacity simulation, statistical testing, ablation, sensitivity analysis and downstream robustness. The project has reached the point where additional arbitrary modeling should not be added merely to seek a positive result. The next stage is to freeze the experimental configuration and write the methodology, results, discussion, limitations and conclusion.</w:t>
      </w:r>
    </w:p>
    <w:p>
      <w:pPr>
        <w:pStyle w:val="Heading1"/>
      </w:pPr>
      <w:r>
        <w:t>16. Suggested 2-Minute Explanation for Sir / Teammates</w:t>
      </w:r>
    </w:p>
    <w:p>
      <w:r>
        <w:t>“My implementation starts from BurstGPT request traces. I first validate the raw data and construct minute and five-minute workload views. For the five-minute workload, I reproduce the Paper 3 forecasting setup using HGB and CP-HGB, and I also implement its causal change-point detector. Separately, at minute resolution, I reproduce the Paper 4-style failure-risk pipeline with 89 temporal features and XGBoost, followed by isotonic calibration. I then combine the two streams: the workload forecast determines the main capacity requirement, while the calibrated failure probability determines whether a 10% safety reserve is activated. I compare four policies: forecast-only, fixed-risk, adaptive-risk, and adaptive-risk with change-point reset. I evaluate them on locked chronological test data using shortage, unused capacity, reserve activation and normalized cost metrics. Finally, I perform 2,000-block bootstrap statistical tests, a risk-feature ablation, 81 change-point sensitivity configurations and downstream robustness testing. The important result is that the proposed reset mechanism did not produce a statistically significant capacity improvement on this test period, so I am not claiming an improvement that the experiments do not support.”</w:t>
      </w:r>
    </w:p>
    <w:p>
      <w:pPr>
        <w:pStyle w:val="Heading1"/>
      </w:pPr>
      <w:r>
        <w:t>17. Main Output Artifacts</w:t>
      </w:r>
    </w:p>
    <w:p>
      <w:pPr>
        <w:pStyle w:val="ListBullet"/>
      </w:pPr>
      <w:r>
        <w:t>Forecast predictions and metrics</w:t>
      </w:r>
    </w:p>
    <w:p>
      <w:pPr>
        <w:pStyle w:val="ListBullet"/>
      </w:pPr>
      <w:r>
        <w:t>Failure-risk predictions and calibration artifacts</w:t>
      </w:r>
    </w:p>
    <w:p>
      <w:pPr>
        <w:pStyle w:val="ListBullet"/>
      </w:pPr>
      <w:r>
        <w:t>V1/V2/V3/V4 policy outputs</w:t>
      </w:r>
    </w:p>
    <w:p>
      <w:pPr>
        <w:pStyle w:val="ListBullet"/>
      </w:pPr>
      <w:r>
        <w:t>Bootstrap statistical tests</w:t>
      </w:r>
    </w:p>
    <w:p>
      <w:pPr>
        <w:pStyle w:val="ListBullet"/>
      </w:pPr>
      <w:r>
        <w:t>Risk-feature ablation outputs</w:t>
      </w:r>
    </w:p>
    <w:p>
      <w:pPr>
        <w:pStyle w:val="ListBullet"/>
      </w:pPr>
      <w:r>
        <w:t>81-configuration change-point sensitivity results</w:t>
      </w:r>
    </w:p>
    <w:p>
      <w:pPr>
        <w:pStyle w:val="ListBullet"/>
      </w:pPr>
      <w:r>
        <w:t>Downstream robustness results</w:t>
      </w:r>
    </w:p>
    <w:p>
      <w:pPr>
        <w:pStyle w:val="ListBullet"/>
      </w:pPr>
      <w:r>
        <w:t>11 research figures</w:t>
      </w:r>
    </w:p>
    <w:p>
      <w:pPr>
        <w:pStyle w:val="ListBullet"/>
      </w:pPr>
      <w:r>
        <w:t>Final result/configuration/hypothesis tables</w:t>
      </w:r>
    </w:p>
    <w:p>
      <w:pPr>
        <w:pStyle w:val="ListBullet"/>
      </w:pPr>
      <w:r>
        <w:t>Validation metadata for reproducibility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LLM Adaptive Research — Implementation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