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Complete Implementation &amp; Results Summary</w:t>
      </w:r>
    </w:p>
    <w:p>
      <w:pPr>
        <w:pStyle w:val="Title"/>
      </w:pPr>
      <w:r>
        <w:t>Short-Term LLM Workload Prediction for Adaptive Cloud Computing</w:t>
      </w:r>
    </w:p>
    <w:p>
      <w:pPr>
        <w:jc w:val="center"/>
      </w:pPr>
      <w:r>
        <w:rPr>
          <w:i/>
        </w:rPr>
        <w:t>Implementation-frozen handout for supervisor/reviewer discussion</w:t>
      </w:r>
    </w:p>
    <w:p>
      <w:pPr>
        <w:pStyle w:val="Heading1"/>
      </w:pPr>
      <w:r>
        <w:t>1. Purpose of this document</w:t>
      </w:r>
    </w:p>
    <w:p>
      <w:r>
        <w:t>This document gives one end-to-end view of what was implemented, what was measured, what the final experiments actually showed, and what the paper should and should not claim. It is intentionally written so it can be used both as a supervisor-facing summary and as a personal viva/review guide.</w:t>
      </w:r>
    </w:p>
    <w:p>
      <w:pPr>
        <w:pStyle w:val="Heading1"/>
      </w:pPr>
      <w:r>
        <w:t>2. Research topic and central idea</w:t>
      </w:r>
    </w:p>
    <w:p>
      <w:r>
        <w:t>Research topic: Short-Term LLM Workload Prediction for Adaptive Cloud Computing.</w:t>
      </w:r>
    </w:p>
    <w:p>
      <w:r>
        <w:t>The implementation studies whether short-term prediction of LLM workload can be connected to a workload-capacity control policy, while using a separately trained and calibrated failure-risk model to decide when an additional reserve should be activated.</w:t>
      </w:r>
    </w:p>
    <w:p>
      <w:pPr>
        <w:pStyle w:val="Heading1"/>
      </w:pPr>
      <w:r>
        <w:t>3. End-to-end implementation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b/>
              </w:rPr>
              <w:t>Stage</w:t>
            </w:r>
          </w:p>
        </w:tc>
        <w:tc>
          <w:tcPr>
            <w:tcW w:type="dxa" w:w="3408"/>
            <w:shd w:fill="D9EAF7"/>
            <w:vAlign w:val="center"/>
          </w:tcPr>
          <w:p>
            <w:r>
              <w:rPr>
                <w:b/>
              </w:rPr>
              <w:t>What was implemented</w:t>
            </w:r>
          </w:p>
        </w:tc>
        <w:tc>
          <w:tcPr>
            <w:tcW w:type="dxa" w:w="3408"/>
            <w:shd w:fill="D9EAF7"/>
            <w:vAlign w:val="center"/>
          </w:tcPr>
          <w:p>
            <w:r>
              <w:rPr>
                <w:b/>
              </w:rPr>
              <w:t>Main output / purpose</w:t>
            </w:r>
          </w:p>
        </w:tc>
      </w:tr>
      <w:tr>
        <w:tc>
          <w:tcPr>
            <w:tcW w:type="dxa" w:w="3408"/>
            <w:vAlign w:val="top"/>
          </w:tcPr>
          <w:p>
            <w:r>
              <w:t>01</w:t>
            </w:r>
          </w:p>
        </w:tc>
        <w:tc>
          <w:tcPr>
            <w:tcW w:type="dxa" w:w="3408"/>
            <w:vAlign w:val="top"/>
          </w:tcPr>
          <w:p>
            <w:r>
              <w:t>Data validation</w:t>
            </w:r>
          </w:p>
        </w:tc>
        <w:tc>
          <w:tcPr>
            <w:tcW w:type="dxa" w:w="3408"/>
            <w:vAlign w:val="top"/>
          </w:tcPr>
          <w:p>
            <w:r>
              <w:t>Validated BurstGPT workload data and basic integrity.</w:t>
            </w:r>
          </w:p>
        </w:tc>
      </w:tr>
      <w:tr>
        <w:tc>
          <w:tcPr>
            <w:tcW w:type="dxa" w:w="3408"/>
            <w:vAlign w:val="top"/>
          </w:tcPr>
          <w:p>
            <w:r>
              <w:t>02</w:t>
            </w:r>
          </w:p>
        </w:tc>
        <w:tc>
          <w:tcPr>
            <w:tcW w:type="dxa" w:w="3408"/>
            <w:vAlign w:val="top"/>
          </w:tcPr>
          <w:p>
            <w:r>
              <w:t>Time-view construction</w:t>
            </w:r>
          </w:p>
        </w:tc>
        <w:tc>
          <w:tcPr>
            <w:tcW w:type="dxa" w:w="3408"/>
            <w:vAlign w:val="top"/>
          </w:tcPr>
          <w:p>
            <w:r>
              <w:t>Created minute and 5-minute workload views.</w:t>
            </w:r>
          </w:p>
        </w:tc>
      </w:tr>
      <w:tr>
        <w:tc>
          <w:tcPr>
            <w:tcW w:type="dxa" w:w="3408"/>
            <w:vAlign w:val="top"/>
          </w:tcPr>
          <w:p>
            <w:r>
              <w:t>03</w:t>
            </w:r>
          </w:p>
        </w:tc>
        <w:tc>
          <w:tcPr>
            <w:tcW w:type="dxa" w:w="3408"/>
            <w:vAlign w:val="top"/>
          </w:tcPr>
          <w:p>
            <w:r>
              <w:t>Change-point detection</w:t>
            </w:r>
          </w:p>
        </w:tc>
        <w:tc>
          <w:tcPr>
            <w:tcW w:type="dxa" w:w="3408"/>
            <w:vAlign w:val="top"/>
          </w:tcPr>
          <w:p>
            <w:r>
              <w:t>Derived a training-only threshold and generated change-point alarms.</w:t>
            </w:r>
          </w:p>
        </w:tc>
      </w:tr>
      <w:tr>
        <w:tc>
          <w:tcPr>
            <w:tcW w:type="dxa" w:w="3408"/>
            <w:vAlign w:val="top"/>
          </w:tcPr>
          <w:p>
            <w:r>
              <w:t>04</w:t>
            </w:r>
          </w:p>
        </w:tc>
        <w:tc>
          <w:tcPr>
            <w:tcW w:type="dxa" w:w="3408"/>
            <w:vAlign w:val="top"/>
          </w:tcPr>
          <w:p>
            <w:r>
              <w:t>Workload feature engineering</w:t>
            </w:r>
          </w:p>
        </w:tc>
        <w:tc>
          <w:tcPr>
            <w:tcW w:type="dxa" w:w="3408"/>
            <w:vAlign w:val="top"/>
          </w:tcPr>
          <w:p>
            <w:r>
              <w:t>Created 32 workload features including lags, rolling statistics and change-point features.</w:t>
            </w:r>
          </w:p>
        </w:tc>
      </w:tr>
      <w:tr>
        <w:tc>
          <w:tcPr>
            <w:tcW w:type="dxa" w:w="3408"/>
            <w:vAlign w:val="top"/>
          </w:tcPr>
          <w:p>
            <w:r>
              <w:t>05</w:t>
            </w:r>
          </w:p>
        </w:tc>
        <w:tc>
          <w:tcPr>
            <w:tcW w:type="dxa" w:w="3408"/>
            <w:vAlign w:val="top"/>
          </w:tcPr>
          <w:p>
            <w:r>
              <w:t>Short-term forecasting</w:t>
            </w:r>
          </w:p>
        </w:tc>
        <w:tc>
          <w:tcPr>
            <w:tcW w:type="dxa" w:w="3408"/>
            <w:vAlign w:val="top"/>
          </w:tcPr>
          <w:p>
            <w:r>
              <w:t>Predicted next 5-minute workload using HGB and CP-HGB.</w:t>
            </w:r>
          </w:p>
        </w:tc>
      </w:tr>
      <w:tr>
        <w:tc>
          <w:tcPr>
            <w:tcW w:type="dxa" w:w="3408"/>
            <w:vAlign w:val="top"/>
          </w:tcPr>
          <w:p>
            <w:r>
              <w:t>06</w:t>
            </w:r>
          </w:p>
        </w:tc>
        <w:tc>
          <w:tcPr>
            <w:tcW w:type="dxa" w:w="3408"/>
            <w:vAlign w:val="top"/>
          </w:tcPr>
          <w:p>
            <w:r>
              <w:t>Failure-risk features</w:t>
            </w:r>
          </w:p>
        </w:tc>
        <w:tc>
          <w:tcPr>
            <w:tcW w:type="dxa" w:w="3408"/>
            <w:vAlign w:val="top"/>
          </w:tcPr>
          <w:p>
            <w:r>
              <w:t>Built minute-level failure-risk features.</w:t>
            </w:r>
          </w:p>
        </w:tc>
      </w:tr>
      <w:tr>
        <w:tc>
          <w:tcPr>
            <w:tcW w:type="dxa" w:w="3408"/>
            <w:vAlign w:val="top"/>
          </w:tcPr>
          <w:p>
            <w:r>
              <w:t>07</w:t>
            </w:r>
          </w:p>
        </w:tc>
        <w:tc>
          <w:tcPr>
            <w:tcW w:type="dxa" w:w="3408"/>
            <w:vAlign w:val="top"/>
          </w:tcPr>
          <w:p>
            <w:r>
              <w:t>Failure-risk model</w:t>
            </w:r>
          </w:p>
        </w:tc>
        <w:tc>
          <w:tcPr>
            <w:tcW w:type="dxa" w:w="3408"/>
            <w:vAlign w:val="top"/>
          </w:tcPr>
          <w:p>
            <w:r>
              <w:t>Trained XGBoost failure-risk model.</w:t>
            </w:r>
          </w:p>
        </w:tc>
      </w:tr>
      <w:tr>
        <w:tc>
          <w:tcPr>
            <w:tcW w:type="dxa" w:w="3408"/>
            <w:vAlign w:val="top"/>
          </w:tcPr>
          <w:p>
            <w:r>
              <w:t>08</w:t>
            </w:r>
          </w:p>
        </w:tc>
        <w:tc>
          <w:tcPr>
            <w:tcW w:type="dxa" w:w="3408"/>
            <w:vAlign w:val="top"/>
          </w:tcPr>
          <w:p>
            <w:r>
              <w:t>Probability calibration</w:t>
            </w:r>
          </w:p>
        </w:tc>
        <w:tc>
          <w:tcPr>
            <w:tcW w:type="dxa" w:w="3408"/>
            <w:vAlign w:val="top"/>
          </w:tcPr>
          <w:p>
            <w:r>
              <w:t>Calibrated predicted failure probabilities.</w:t>
            </w:r>
          </w:p>
        </w:tc>
      </w:tr>
      <w:tr>
        <w:tc>
          <w:tcPr>
            <w:tcW w:type="dxa" w:w="3408"/>
            <w:vAlign w:val="top"/>
          </w:tcPr>
          <w:p>
            <w:r>
              <w:t>09</w:t>
            </w:r>
          </w:p>
        </w:tc>
        <w:tc>
          <w:tcPr>
            <w:tcW w:type="dxa" w:w="3408"/>
            <w:vAlign w:val="top"/>
          </w:tcPr>
          <w:p>
            <w:r>
              <w:t>Adaptive risk threshold</w:t>
            </w:r>
          </w:p>
        </w:tc>
        <w:tc>
          <w:tcPr>
            <w:tcW w:type="dxa" w:w="3408"/>
            <w:vAlign w:val="top"/>
          </w:tcPr>
          <w:p>
            <w:r>
              <w:t>Updated the risk threshold causally from recent failure history.</w:t>
            </w:r>
          </w:p>
        </w:tc>
      </w:tr>
      <w:tr>
        <w:tc>
          <w:tcPr>
            <w:tcW w:type="dxa" w:w="3408"/>
            <w:vAlign w:val="top"/>
          </w:tcPr>
          <w:p>
            <w:r>
              <w:t>10</w:t>
            </w:r>
          </w:p>
        </w:tc>
        <w:tc>
          <w:tcPr>
            <w:tcW w:type="dxa" w:w="3408"/>
            <w:vAlign w:val="top"/>
          </w:tcPr>
          <w:p>
            <w:r>
              <w:t>Capacity simulation</w:t>
            </w:r>
          </w:p>
        </w:tc>
        <w:tc>
          <w:tcPr>
            <w:tcW w:type="dxa" w:w="3408"/>
            <w:vAlign w:val="top"/>
          </w:tcPr>
          <w:p>
            <w:r>
              <w:t>Converted forecasts/risk decisions into normalized workload-capacity policies.</w:t>
            </w:r>
          </w:p>
        </w:tc>
      </w:tr>
      <w:tr>
        <w:tc>
          <w:tcPr>
            <w:tcW w:type="dxa" w:w="3408"/>
            <w:vAlign w:val="top"/>
          </w:tcPr>
          <w:p>
            <w:r>
              <w:t>11</w:t>
            </w:r>
          </w:p>
        </w:tc>
        <w:tc>
          <w:tcPr>
            <w:tcW w:type="dxa" w:w="3408"/>
            <w:vAlign w:val="top"/>
          </w:tcPr>
          <w:p>
            <w:r>
              <w:t>Change-point reset</w:t>
            </w:r>
          </w:p>
        </w:tc>
        <w:tc>
          <w:tcPr>
            <w:tcW w:type="dxa" w:w="3408"/>
            <w:vAlign w:val="top"/>
          </w:tcPr>
          <w:p>
            <w:r>
              <w:t>Added reset of the adaptive threshold after change-point alarms.</w:t>
            </w:r>
          </w:p>
        </w:tc>
      </w:tr>
      <w:tr>
        <w:tc>
          <w:tcPr>
            <w:tcW w:type="dxa" w:w="3408"/>
            <w:vAlign w:val="top"/>
          </w:tcPr>
          <w:p>
            <w:r>
              <w:t>12</w:t>
            </w:r>
          </w:p>
        </w:tc>
        <w:tc>
          <w:tcPr>
            <w:tcW w:type="dxa" w:w="3408"/>
            <w:vAlign w:val="top"/>
          </w:tcPr>
          <w:p>
            <w:r>
              <w:t>Comprehensive evaluation</w:t>
            </w:r>
          </w:p>
        </w:tc>
        <w:tc>
          <w:tcPr>
            <w:tcW w:type="dxa" w:w="3408"/>
            <w:vAlign w:val="top"/>
          </w:tcPr>
          <w:p>
            <w:r>
              <w:t>Computed forecast, risk and capacity metrics.</w:t>
            </w:r>
          </w:p>
        </w:tc>
      </w:tr>
      <w:tr>
        <w:tc>
          <w:tcPr>
            <w:tcW w:type="dxa" w:w="3408"/>
            <w:vAlign w:val="top"/>
          </w:tcPr>
          <w:p>
            <w:r>
              <w:t>13</w:t>
            </w:r>
          </w:p>
        </w:tc>
        <w:tc>
          <w:tcPr>
            <w:tcW w:type="dxa" w:w="3408"/>
            <w:vAlign w:val="top"/>
          </w:tcPr>
          <w:p>
            <w:r>
              <w:t>Bootstrap inference</w:t>
            </w:r>
          </w:p>
        </w:tc>
        <w:tc>
          <w:tcPr>
            <w:tcW w:type="dxa" w:w="3408"/>
            <w:vAlign w:val="top"/>
          </w:tcPr>
          <w:p>
            <w:r>
              <w:t>Tested paired differences with moving-block bootstrap.</w:t>
            </w:r>
          </w:p>
        </w:tc>
      </w:tr>
      <w:tr>
        <w:tc>
          <w:tcPr>
            <w:tcW w:type="dxa" w:w="3408"/>
            <w:vAlign w:val="top"/>
          </w:tcPr>
          <w:p>
            <w:r>
              <w:t>14</w:t>
            </w:r>
          </w:p>
        </w:tc>
        <w:tc>
          <w:tcPr>
            <w:tcW w:type="dxa" w:w="3408"/>
            <w:vAlign w:val="top"/>
          </w:tcPr>
          <w:p>
            <w:r>
              <w:t>Research figures</w:t>
            </w:r>
          </w:p>
        </w:tc>
        <w:tc>
          <w:tcPr>
            <w:tcW w:type="dxa" w:w="3408"/>
            <w:vAlign w:val="top"/>
          </w:tcPr>
          <w:p>
            <w:r>
              <w:t>Generated research figures.</w:t>
            </w:r>
          </w:p>
        </w:tc>
      </w:tr>
      <w:tr>
        <w:tc>
          <w:tcPr>
            <w:tcW w:type="dxa" w:w="3408"/>
            <w:vAlign w:val="top"/>
          </w:tcPr>
          <w:p>
            <w:r>
              <w:t>15</w:t>
            </w:r>
          </w:p>
        </w:tc>
        <w:tc>
          <w:tcPr>
            <w:tcW w:type="dxa" w:w="3408"/>
            <w:vAlign w:val="top"/>
          </w:tcPr>
          <w:p>
            <w:r>
              <w:t>Research tables</w:t>
            </w:r>
          </w:p>
        </w:tc>
        <w:tc>
          <w:tcPr>
            <w:tcW w:type="dxa" w:w="3408"/>
            <w:vAlign w:val="top"/>
          </w:tcPr>
          <w:p>
            <w:r>
              <w:t>Generated research tables and metadata.</w:t>
            </w:r>
          </w:p>
        </w:tc>
      </w:tr>
      <w:tr>
        <w:tc>
          <w:tcPr>
            <w:tcW w:type="dxa" w:w="3408"/>
            <w:vAlign w:val="top"/>
          </w:tcPr>
          <w:p>
            <w:r>
              <w:t>16</w:t>
            </w:r>
          </w:p>
        </w:tc>
        <w:tc>
          <w:tcPr>
            <w:tcW w:type="dxa" w:w="3408"/>
            <w:vAlign w:val="top"/>
          </w:tcPr>
          <w:p>
            <w:r>
              <w:t>Risk ablation</w:t>
            </w:r>
          </w:p>
        </w:tc>
        <w:tc>
          <w:tcPr>
            <w:tcW w:type="dxa" w:w="3408"/>
            <w:vAlign w:val="top"/>
          </w:tcPr>
          <w:p>
            <w:r>
              <w:t>Removed historical zero-response features and measured the effect.</w:t>
            </w:r>
          </w:p>
        </w:tc>
      </w:tr>
      <w:tr>
        <w:tc>
          <w:tcPr>
            <w:tcW w:type="dxa" w:w="3408"/>
            <w:vAlign w:val="top"/>
          </w:tcPr>
          <w:p>
            <w:r>
              <w:t>17</w:t>
            </w:r>
          </w:p>
        </w:tc>
        <w:tc>
          <w:tcPr>
            <w:tcW w:type="dxa" w:w="3408"/>
            <w:vAlign w:val="top"/>
          </w:tcPr>
          <w:p>
            <w:r>
              <w:t>Change-point sensitivity</w:t>
            </w:r>
          </w:p>
        </w:tc>
        <w:tc>
          <w:tcPr>
            <w:tcW w:type="dxa" w:w="3408"/>
            <w:vAlign w:val="top"/>
          </w:tcPr>
          <w:p>
            <w:r>
              <w:t>Tested 81 change-point configurations.</w:t>
            </w:r>
          </w:p>
        </w:tc>
      </w:tr>
      <w:tr>
        <w:tc>
          <w:tcPr>
            <w:tcW w:type="dxa" w:w="3408"/>
            <w:vAlign w:val="top"/>
          </w:tcPr>
          <w:p>
            <w:r>
              <w:t>18</w:t>
            </w:r>
          </w:p>
        </w:tc>
        <w:tc>
          <w:tcPr>
            <w:tcW w:type="dxa" w:w="3408"/>
            <w:vAlign w:val="top"/>
          </w:tcPr>
          <w:p>
            <w:r>
              <w:t>Downstream robustness</w:t>
            </w:r>
          </w:p>
        </w:tc>
        <w:tc>
          <w:tcPr>
            <w:tcW w:type="dxa" w:w="3408"/>
            <w:vAlign w:val="top"/>
          </w:tcPr>
          <w:p>
            <w:r>
              <w:t>Checked whether change-point choices altered downstream policy results.</w:t>
            </w:r>
          </w:p>
        </w:tc>
      </w:tr>
      <w:tr>
        <w:tc>
          <w:tcPr>
            <w:tcW w:type="dxa" w:w="3408"/>
            <w:vAlign w:val="top"/>
          </w:tcPr>
          <w:p>
            <w:r>
              <w:t>19</w:t>
            </w:r>
          </w:p>
        </w:tc>
        <w:tc>
          <w:tcPr>
            <w:tcW w:type="dxa" w:w="3408"/>
            <w:vAlign w:val="top"/>
          </w:tcPr>
          <w:p>
            <w:r>
              <w:t>Strong forecasting baselines</w:t>
            </w:r>
          </w:p>
        </w:tc>
        <w:tc>
          <w:tcPr>
            <w:tcW w:type="dxa" w:w="3408"/>
            <w:vAlign w:val="top"/>
          </w:tcPr>
          <w:p>
            <w:r>
              <w:t>Compared Persistence, Seasonal Naive, Moving Average, Linear Regression, Random Forest, HGB and CP-HGB.</w:t>
            </w:r>
          </w:p>
        </w:tc>
      </w:tr>
      <w:tr>
        <w:tc>
          <w:tcPr>
            <w:tcW w:type="dxa" w:w="3408"/>
            <w:vAlign w:val="top"/>
          </w:tcPr>
          <w:p>
            <w:r>
              <w:t>20</w:t>
            </w:r>
          </w:p>
        </w:tc>
        <w:tc>
          <w:tcPr>
            <w:tcW w:type="dxa" w:w="3408"/>
            <w:vAlign w:val="top"/>
          </w:tcPr>
          <w:p>
            <w:r>
              <w:t>Forecast-to-control comparison</w:t>
            </w:r>
          </w:p>
        </w:tc>
        <w:tc>
          <w:tcPr>
            <w:tcW w:type="dxa" w:w="3408"/>
            <w:vAlign w:val="top"/>
          </w:tcPr>
          <w:p>
            <w:r>
              <w:t>Isolated the effect of forecast choice on normalized capacity control.</w:t>
            </w:r>
          </w:p>
        </w:tc>
      </w:tr>
      <w:tr>
        <w:tc>
          <w:tcPr>
            <w:tcW w:type="dxa" w:w="3408"/>
            <w:vAlign w:val="top"/>
          </w:tcPr>
          <w:p>
            <w:r>
              <w:t>21</w:t>
            </w:r>
          </w:p>
        </w:tc>
        <w:tc>
          <w:tcPr>
            <w:tcW w:type="dxa" w:w="3408"/>
            <w:vAlign w:val="top"/>
          </w:tcPr>
          <w:p>
            <w:r>
              <w:t>Forecast + adaptive risk</w:t>
            </w:r>
          </w:p>
        </w:tc>
        <w:tc>
          <w:tcPr>
            <w:tcW w:type="dxa" w:w="3408"/>
            <w:vAlign w:val="top"/>
          </w:tcPr>
          <w:p>
            <w:r>
              <w:t>Connected each forecaster to the same adaptive-risk controller.</w:t>
            </w:r>
          </w:p>
        </w:tc>
      </w:tr>
      <w:tr>
        <w:tc>
          <w:tcPr>
            <w:tcW w:type="dxa" w:w="3408"/>
            <w:vAlign w:val="top"/>
          </w:tcPr>
          <w:p>
            <w:r>
              <w:t>22</w:t>
            </w:r>
          </w:p>
        </w:tc>
        <w:tc>
          <w:tcPr>
            <w:tcW w:type="dxa" w:w="3408"/>
            <w:vAlign w:val="top"/>
          </w:tcPr>
          <w:p>
            <w:r>
              <w:t>Paired policy statistics</w:t>
            </w:r>
          </w:p>
        </w:tc>
        <w:tc>
          <w:tcPr>
            <w:tcW w:type="dxa" w:w="3408"/>
            <w:vAlign w:val="top"/>
          </w:tcPr>
          <w:p>
            <w:r>
              <w:t>Used Wilcoxon tests and paired bootstrap CIs with Holm correction.</w:t>
            </w:r>
          </w:p>
        </w:tc>
      </w:tr>
      <w:tr>
        <w:tc>
          <w:tcPr>
            <w:tcW w:type="dxa" w:w="3408"/>
            <w:vAlign w:val="top"/>
          </w:tcPr>
          <w:p>
            <w:r>
              <w:t>23</w:t>
            </w:r>
          </w:p>
        </w:tc>
        <w:tc>
          <w:tcPr>
            <w:tcW w:type="dxa" w:w="3408"/>
            <w:vAlign w:val="top"/>
          </w:tcPr>
          <w:p>
            <w:r>
              <w:t>Final audit/freeze</w:t>
            </w:r>
          </w:p>
        </w:tc>
        <w:tc>
          <w:tcPr>
            <w:tcW w:type="dxa" w:w="3408"/>
            <w:vAlign w:val="top"/>
          </w:tcPr>
          <w:p>
            <w:r>
              <w:t>Verified artifacts, alignment, statistical outputs, scope claims and created a SHA256 freeze manifest.</w:t>
            </w:r>
          </w:p>
        </w:tc>
      </w:tr>
    </w:tbl>
    <w:p>
      <w:pPr>
        <w:pStyle w:val="Heading1"/>
      </w:pPr>
      <w:r>
        <w:t>4. Dataset and experimental setup</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rPr>
              <w:t>Item</w:t>
            </w:r>
          </w:p>
        </w:tc>
        <w:tc>
          <w:tcPr>
            <w:tcW w:type="dxa" w:w="5112"/>
            <w:shd w:fill="D9EAF7"/>
            <w:vAlign w:val="center"/>
          </w:tcPr>
          <w:p>
            <w:r>
              <w:rPr>
                <w:b/>
              </w:rPr>
              <w:t>Final implementation</w:t>
            </w:r>
          </w:p>
        </w:tc>
      </w:tr>
      <w:tr>
        <w:tc>
          <w:tcPr>
            <w:tcW w:type="dxa" w:w="5112"/>
            <w:vAlign w:val="top"/>
          </w:tcPr>
          <w:p>
            <w:r>
              <w:t>Source</w:t>
            </w:r>
          </w:p>
        </w:tc>
        <w:tc>
          <w:tcPr>
            <w:tcW w:type="dxa" w:w="5112"/>
            <w:vAlign w:val="top"/>
          </w:tcPr>
          <w:p>
            <w:r>
              <w:t>BurstGPT workload trace</w:t>
            </w:r>
          </w:p>
        </w:tc>
      </w:tr>
      <w:tr>
        <w:tc>
          <w:tcPr>
            <w:tcW w:type="dxa" w:w="5112"/>
            <w:vAlign w:val="top"/>
          </w:tcPr>
          <w:p>
            <w:r>
              <w:t>Raw rows</w:t>
            </w:r>
          </w:p>
        </w:tc>
        <w:tc>
          <w:tcPr>
            <w:tcW w:type="dxa" w:w="5112"/>
            <w:vAlign w:val="top"/>
          </w:tcPr>
          <w:p>
            <w:r>
              <w:t>1,429,737</w:t>
            </w:r>
          </w:p>
        </w:tc>
      </w:tr>
      <w:tr>
        <w:tc>
          <w:tcPr>
            <w:tcW w:type="dxa" w:w="5112"/>
            <w:vAlign w:val="top"/>
          </w:tcPr>
          <w:p>
            <w:r>
              <w:t>Raw fields</w:t>
            </w:r>
          </w:p>
        </w:tc>
        <w:tc>
          <w:tcPr>
            <w:tcW w:type="dxa" w:w="5112"/>
            <w:vAlign w:val="top"/>
          </w:tcPr>
          <w:p>
            <w:r>
              <w:t>Timestamp, Model, Request tokens, Response tokens, Total tokens, Log Type</w:t>
            </w:r>
          </w:p>
        </w:tc>
      </w:tr>
      <w:tr>
        <w:tc>
          <w:tcPr>
            <w:tcW w:type="dxa" w:w="5112"/>
            <w:vAlign w:val="top"/>
          </w:tcPr>
          <w:p>
            <w:r>
              <w:t>Minute view</w:t>
            </w:r>
          </w:p>
        </w:tc>
        <w:tc>
          <w:tcPr>
            <w:tcW w:type="dxa" w:w="5112"/>
            <w:vAlign w:val="top"/>
          </w:tcPr>
          <w:p>
            <w:r>
              <w:t>87,833 rows</w:t>
            </w:r>
          </w:p>
        </w:tc>
      </w:tr>
      <w:tr>
        <w:tc>
          <w:tcPr>
            <w:tcW w:type="dxa" w:w="5112"/>
            <w:vAlign w:val="top"/>
          </w:tcPr>
          <w:p>
            <w:r>
              <w:t>5-minute view</w:t>
            </w:r>
          </w:p>
        </w:tc>
        <w:tc>
          <w:tcPr>
            <w:tcW w:type="dxa" w:w="5112"/>
            <w:vAlign w:val="top"/>
          </w:tcPr>
          <w:p>
            <w:r>
              <w:t>17,566 rows</w:t>
            </w:r>
          </w:p>
        </w:tc>
      </w:tr>
      <w:tr>
        <w:tc>
          <w:tcPr>
            <w:tcW w:type="dxa" w:w="5112"/>
            <w:vAlign w:val="top"/>
          </w:tcPr>
          <w:p>
            <w:r>
              <w:t>Forecast target</w:t>
            </w:r>
          </w:p>
        </w:tc>
        <w:tc>
          <w:tcPr>
            <w:tcW w:type="dxa" w:w="5112"/>
            <w:vAlign w:val="top"/>
          </w:tcPr>
          <w:p>
            <w:r>
              <w:t>Next 5-minute total tokens</w:t>
            </w:r>
          </w:p>
        </w:tc>
      </w:tr>
      <w:tr>
        <w:tc>
          <w:tcPr>
            <w:tcW w:type="dxa" w:w="5112"/>
            <w:vAlign w:val="top"/>
          </w:tcPr>
          <w:p>
            <w:r>
              <w:t>Maximum history</w:t>
            </w:r>
          </w:p>
        </w:tc>
        <w:tc>
          <w:tcPr>
            <w:tcW w:type="dxa" w:w="5112"/>
            <w:vAlign w:val="top"/>
          </w:tcPr>
          <w:p>
            <w:r>
              <w:t>288 five-minute bins = 1,440 minutes</w:t>
            </w:r>
          </w:p>
        </w:tc>
      </w:tr>
      <w:tr>
        <w:tc>
          <w:tcPr>
            <w:tcW w:type="dxa" w:w="5112"/>
            <w:vAlign w:val="top"/>
          </w:tcPr>
          <w:p>
            <w:r>
              <w:t>Locked-test forecast rows</w:t>
            </w:r>
          </w:p>
        </w:tc>
        <w:tc>
          <w:tcPr>
            <w:tcW w:type="dxa" w:w="5112"/>
            <w:vAlign w:val="top"/>
          </w:tcPr>
          <w:p>
            <w:r>
              <w:t>2,589</w:t>
            </w:r>
          </w:p>
        </w:tc>
      </w:tr>
      <w:tr>
        <w:tc>
          <w:tcPr>
            <w:tcW w:type="dxa" w:w="5112"/>
            <w:vAlign w:val="top"/>
          </w:tcPr>
          <w:p>
            <w:r>
              <w:t>Failure-risk usable rows</w:t>
            </w:r>
          </w:p>
        </w:tc>
        <w:tc>
          <w:tcPr>
            <w:tcW w:type="dxa" w:w="5112"/>
            <w:vAlign w:val="top"/>
          </w:tcPr>
          <w:p>
            <w:r>
              <w:t>86,393 minute-level rows</w:t>
            </w:r>
          </w:p>
        </w:tc>
      </w:tr>
      <w:tr>
        <w:tc>
          <w:tcPr>
            <w:tcW w:type="dxa" w:w="5112"/>
            <w:vAlign w:val="top"/>
          </w:tcPr>
          <w:p>
            <w:r>
              <w:t>Locked-test failure prevalence</w:t>
            </w:r>
          </w:p>
        </w:tc>
        <w:tc>
          <w:tcPr>
            <w:tcW w:type="dxa" w:w="5112"/>
            <w:vAlign w:val="top"/>
          </w:tcPr>
          <w:p>
            <w:r>
              <w:t>1.3699%</w:t>
            </w:r>
          </w:p>
        </w:tc>
      </w:tr>
      <w:tr>
        <w:tc>
          <w:tcPr>
            <w:tcW w:type="dxa" w:w="5112"/>
            <w:vAlign w:val="top"/>
          </w:tcPr>
          <w:p>
            <w:r>
              <w:t>Capacity scope</w:t>
            </w:r>
          </w:p>
        </w:tc>
        <w:tc>
          <w:tcPr>
            <w:tcW w:type="dxa" w:w="5112"/>
            <w:vAlign w:val="top"/>
          </w:tcPr>
          <w:p>
            <w:r>
              <w:t>Normalized workload capacity; no token-to-GPU conversion</w:t>
            </w:r>
          </w:p>
        </w:tc>
      </w:tr>
    </w:tbl>
    <w:p>
      <w:pPr>
        <w:pStyle w:val="Heading1"/>
      </w:pPr>
      <w:r>
        <w:t>5. Forecasting implementation</w:t>
      </w:r>
    </w:p>
    <w:p>
      <w:r>
        <w:t>The primary workload models were HistGradientBoostingRegressor (HGB) and a change-point-aware variant (CP-HGB). The target was transformed with log1p and predictions were transformed back with expm1 and clipped non-negative. The locked test partition was never used for model training or feature engineering.</w:t>
      </w:r>
    </w:p>
    <w:p>
      <w:r>
        <w:t>HGB used 24 features. CP-HGB used 28 features, adding change-point-related information. The main HGB configuration used max_iter=80, learning_rate=0.07, max_leaf_nodes=31, min_samples_leaf=30, l2=1.0 and random_state=42.</w:t>
      </w:r>
    </w:p>
    <w:p>
      <w:pPr>
        <w:pStyle w:val="Heading1"/>
      </w:pPr>
      <w:r>
        <w:t>6. Forecasting results on the locked test set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D9EAF7"/>
            <w:vAlign w:val="center"/>
          </w:tcPr>
          <w:p>
            <w:r>
              <w:rPr>
                <w:b/>
              </w:rPr>
              <w:t>Model</w:t>
            </w:r>
          </w:p>
        </w:tc>
        <w:tc>
          <w:tcPr>
            <w:tcW w:type="dxa" w:w="1704"/>
            <w:shd w:fill="D9EAF7"/>
            <w:vAlign w:val="center"/>
          </w:tcPr>
          <w:p>
            <w:r>
              <w:rPr>
                <w:b/>
              </w:rPr>
              <w:t>MAE</w:t>
            </w:r>
          </w:p>
        </w:tc>
        <w:tc>
          <w:tcPr>
            <w:tcW w:type="dxa" w:w="1704"/>
            <w:shd w:fill="D9EAF7"/>
            <w:vAlign w:val="center"/>
          </w:tcPr>
          <w:p>
            <w:r>
              <w:rPr>
                <w:b/>
              </w:rPr>
              <w:t>RMSE</w:t>
            </w:r>
          </w:p>
        </w:tc>
        <w:tc>
          <w:tcPr>
            <w:tcW w:type="dxa" w:w="1704"/>
            <w:shd w:fill="D9EAF7"/>
            <w:vAlign w:val="center"/>
          </w:tcPr>
          <w:p>
            <w:r>
              <w:rPr>
                <w:b/>
              </w:rPr>
              <w:t>WAPE</w:t>
            </w:r>
          </w:p>
        </w:tc>
        <w:tc>
          <w:tcPr>
            <w:tcW w:type="dxa" w:w="1704"/>
            <w:shd w:fill="D9EAF7"/>
            <w:vAlign w:val="center"/>
          </w:tcPr>
          <w:p>
            <w:r>
              <w:rPr>
                <w:b/>
              </w:rPr>
              <w:t>sMAPE</w:t>
            </w:r>
          </w:p>
        </w:tc>
        <w:tc>
          <w:tcPr>
            <w:tcW w:type="dxa" w:w="1704"/>
            <w:shd w:fill="D9EAF7"/>
            <w:vAlign w:val="center"/>
          </w:tcPr>
          <w:p>
            <w:r>
              <w:rPr>
                <w:b/>
              </w:rPr>
              <w:t>Mean bias</w:t>
            </w:r>
          </w:p>
        </w:tc>
      </w:tr>
      <w:tr>
        <w:tc>
          <w:tcPr>
            <w:tcW w:type="dxa" w:w="1704"/>
            <w:vAlign w:val="top"/>
          </w:tcPr>
          <w:p>
            <w:r>
              <w:t>Persistence</w:t>
            </w:r>
          </w:p>
        </w:tc>
        <w:tc>
          <w:tcPr>
            <w:tcW w:type="dxa" w:w="1704"/>
            <w:vAlign w:val="top"/>
          </w:tcPr>
          <w:p>
            <w:r>
              <w:t>18,720.47</w:t>
            </w:r>
          </w:p>
        </w:tc>
        <w:tc>
          <w:tcPr>
            <w:tcW w:type="dxa" w:w="1704"/>
            <w:vAlign w:val="top"/>
          </w:tcPr>
          <w:p>
            <w:r>
              <w:t>42,762.53</w:t>
            </w:r>
          </w:p>
        </w:tc>
        <w:tc>
          <w:tcPr>
            <w:tcW w:type="dxa" w:w="1704"/>
            <w:vAlign w:val="top"/>
          </w:tcPr>
          <w:p>
            <w:r>
              <w:t>51.16%</w:t>
            </w:r>
          </w:p>
        </w:tc>
        <w:tc>
          <w:tcPr>
            <w:tcW w:type="dxa" w:w="1704"/>
            <w:vAlign w:val="top"/>
          </w:tcPr>
          <w:p>
            <w:r>
              <w:t>74.61%</w:t>
            </w:r>
          </w:p>
        </w:tc>
        <w:tc>
          <w:tcPr>
            <w:tcW w:type="dxa" w:w="1704"/>
            <w:vAlign w:val="top"/>
          </w:tcPr>
          <w:p>
            <w:r>
              <w:t>-2.65</w:t>
            </w:r>
          </w:p>
        </w:tc>
      </w:tr>
      <w:tr>
        <w:tc>
          <w:tcPr>
            <w:tcW w:type="dxa" w:w="1704"/>
            <w:vAlign w:val="top"/>
          </w:tcPr>
          <w:p>
            <w:r>
              <w:t>Seasonal Naive (Daily)</w:t>
            </w:r>
          </w:p>
        </w:tc>
        <w:tc>
          <w:tcPr>
            <w:tcW w:type="dxa" w:w="1704"/>
            <w:vAlign w:val="top"/>
          </w:tcPr>
          <w:p>
            <w:r>
              <w:t>45,912.84</w:t>
            </w:r>
          </w:p>
        </w:tc>
        <w:tc>
          <w:tcPr>
            <w:tcW w:type="dxa" w:w="1704"/>
            <w:vAlign w:val="top"/>
          </w:tcPr>
          <w:p>
            <w:r>
              <w:t>79,354.11</w:t>
            </w:r>
          </w:p>
        </w:tc>
        <w:tc>
          <w:tcPr>
            <w:tcW w:type="dxa" w:w="1704"/>
            <w:vAlign w:val="top"/>
          </w:tcPr>
          <w:p>
            <w:r>
              <w:t>125.48%</w:t>
            </w:r>
          </w:p>
        </w:tc>
        <w:tc>
          <w:tcPr>
            <w:tcW w:type="dxa" w:w="1704"/>
            <w:vAlign w:val="top"/>
          </w:tcPr>
          <w:p>
            <w:r>
              <w:t>125.31%</w:t>
            </w:r>
          </w:p>
        </w:tc>
        <w:tc>
          <w:tcPr>
            <w:tcW w:type="dxa" w:w="1704"/>
            <w:vAlign w:val="top"/>
          </w:tcPr>
          <w:p>
            <w:r>
              <w:t>3,132.61</w:t>
            </w:r>
          </w:p>
        </w:tc>
      </w:tr>
      <w:tr>
        <w:tc>
          <w:tcPr>
            <w:tcW w:type="dxa" w:w="1704"/>
            <w:vAlign w:val="top"/>
          </w:tcPr>
          <w:p>
            <w:r>
              <w:t>Moving Average (60 min)</w:t>
            </w:r>
          </w:p>
        </w:tc>
        <w:tc>
          <w:tcPr>
            <w:tcW w:type="dxa" w:w="1704"/>
            <w:vAlign w:val="top"/>
          </w:tcPr>
          <w:p>
            <w:r>
              <w:t>26,994.64</w:t>
            </w:r>
          </w:p>
        </w:tc>
        <w:tc>
          <w:tcPr>
            <w:tcW w:type="dxa" w:w="1704"/>
            <w:vAlign w:val="top"/>
          </w:tcPr>
          <w:p>
            <w:r>
              <w:t>48,914.30</w:t>
            </w:r>
          </w:p>
        </w:tc>
        <w:tc>
          <w:tcPr>
            <w:tcW w:type="dxa" w:w="1704"/>
            <w:vAlign w:val="top"/>
          </w:tcPr>
          <w:p>
            <w:r>
              <w:t>73.78%</w:t>
            </w:r>
          </w:p>
        </w:tc>
        <w:tc>
          <w:tcPr>
            <w:tcW w:type="dxa" w:w="1704"/>
            <w:vAlign w:val="top"/>
          </w:tcPr>
          <w:p>
            <w:r>
              <w:t>94.19%</w:t>
            </w:r>
          </w:p>
        </w:tc>
        <w:tc>
          <w:tcPr>
            <w:tcW w:type="dxa" w:w="1704"/>
            <w:vAlign w:val="top"/>
          </w:tcPr>
          <w:p>
            <w:r>
              <w:t>60.46</w:t>
            </w:r>
          </w:p>
        </w:tc>
      </w:tr>
      <w:tr>
        <w:tc>
          <w:tcPr>
            <w:tcW w:type="dxa" w:w="1704"/>
            <w:vAlign w:val="top"/>
          </w:tcPr>
          <w:p>
            <w:r>
              <w:t>Linear Regression</w:t>
            </w:r>
          </w:p>
        </w:tc>
        <w:tc>
          <w:tcPr>
            <w:tcW w:type="dxa" w:w="1704"/>
            <w:vAlign w:val="top"/>
          </w:tcPr>
          <w:p>
            <w:r>
              <w:t>26,280.03</w:t>
            </w:r>
          </w:p>
        </w:tc>
        <w:tc>
          <w:tcPr>
            <w:tcW w:type="dxa" w:w="1704"/>
            <w:vAlign w:val="top"/>
          </w:tcPr>
          <w:p>
            <w:r>
              <w:t>52,824.82</w:t>
            </w:r>
          </w:p>
        </w:tc>
        <w:tc>
          <w:tcPr>
            <w:tcW w:type="dxa" w:w="1704"/>
            <w:vAlign w:val="top"/>
          </w:tcPr>
          <w:p>
            <w:r>
              <w:t>71.82%</w:t>
            </w:r>
          </w:p>
        </w:tc>
        <w:tc>
          <w:tcPr>
            <w:tcW w:type="dxa" w:w="1704"/>
            <w:vAlign w:val="top"/>
          </w:tcPr>
          <w:p>
            <w:r>
              <w:t>90.37%</w:t>
            </w:r>
          </w:p>
        </w:tc>
        <w:tc>
          <w:tcPr>
            <w:tcW w:type="dxa" w:w="1704"/>
            <w:vAlign w:val="top"/>
          </w:tcPr>
          <w:p>
            <w:r>
              <w:t>2,223.73</w:t>
            </w:r>
          </w:p>
        </w:tc>
      </w:tr>
      <w:tr>
        <w:tc>
          <w:tcPr>
            <w:tcW w:type="dxa" w:w="1704"/>
            <w:vAlign w:val="top"/>
          </w:tcPr>
          <w:p>
            <w:r>
              <w:t>Random Forest</w:t>
            </w:r>
          </w:p>
        </w:tc>
        <w:tc>
          <w:tcPr>
            <w:tcW w:type="dxa" w:w="1704"/>
            <w:vAlign w:val="top"/>
          </w:tcPr>
          <w:p>
            <w:r>
              <w:t>31,634.07</w:t>
            </w:r>
          </w:p>
        </w:tc>
        <w:tc>
          <w:tcPr>
            <w:tcW w:type="dxa" w:w="1704"/>
            <w:vAlign w:val="top"/>
          </w:tcPr>
          <w:p>
            <w:r>
              <w:t>59,010.18</w:t>
            </w:r>
          </w:p>
        </w:tc>
        <w:tc>
          <w:tcPr>
            <w:tcW w:type="dxa" w:w="1704"/>
            <w:vAlign w:val="top"/>
          </w:tcPr>
          <w:p>
            <w:r>
              <w:t>86.46%</w:t>
            </w:r>
          </w:p>
        </w:tc>
        <w:tc>
          <w:tcPr>
            <w:tcW w:type="dxa" w:w="1704"/>
            <w:vAlign w:val="top"/>
          </w:tcPr>
          <w:p>
            <w:r>
              <w:t>97.38%</w:t>
            </w:r>
          </w:p>
        </w:tc>
        <w:tc>
          <w:tcPr>
            <w:tcW w:type="dxa" w:w="1704"/>
            <w:vAlign w:val="top"/>
          </w:tcPr>
          <w:p>
            <w:r>
              <w:t>10,610.35</w:t>
            </w:r>
          </w:p>
        </w:tc>
      </w:tr>
      <w:tr>
        <w:tc>
          <w:tcPr>
            <w:tcW w:type="dxa" w:w="1704"/>
            <w:vAlign w:val="top"/>
          </w:tcPr>
          <w:p>
            <w:r>
              <w:t>HGB</w:t>
            </w:r>
          </w:p>
        </w:tc>
        <w:tc>
          <w:tcPr>
            <w:tcW w:type="dxa" w:w="1704"/>
            <w:vAlign w:val="top"/>
          </w:tcPr>
          <w:p>
            <w:r>
              <w:t>24,212.67</w:t>
            </w:r>
          </w:p>
        </w:tc>
        <w:tc>
          <w:tcPr>
            <w:tcW w:type="dxa" w:w="1704"/>
            <w:vAlign w:val="top"/>
          </w:tcPr>
          <w:p>
            <w:r>
              <w:t>50,406.65</w:t>
            </w:r>
          </w:p>
        </w:tc>
        <w:tc>
          <w:tcPr>
            <w:tcW w:type="dxa" w:w="1704"/>
            <w:vAlign w:val="top"/>
          </w:tcPr>
          <w:p>
            <w:r>
              <w:t>66.17%</w:t>
            </w:r>
          </w:p>
        </w:tc>
        <w:tc>
          <w:tcPr>
            <w:tcW w:type="dxa" w:w="1704"/>
            <w:vAlign w:val="top"/>
          </w:tcPr>
          <w:p>
            <w:r>
              <w:t>102.96%</w:t>
            </w:r>
          </w:p>
        </w:tc>
        <w:tc>
          <w:tcPr>
            <w:tcW w:type="dxa" w:w="1704"/>
            <w:vAlign w:val="top"/>
          </w:tcPr>
          <w:p>
            <w:r>
              <w:t>-13,564.31</w:t>
            </w:r>
          </w:p>
        </w:tc>
      </w:tr>
      <w:tr>
        <w:tc>
          <w:tcPr>
            <w:tcW w:type="dxa" w:w="1704"/>
            <w:vAlign w:val="top"/>
          </w:tcPr>
          <w:p>
            <w:r>
              <w:t>CP-HGB</w:t>
            </w:r>
          </w:p>
        </w:tc>
        <w:tc>
          <w:tcPr>
            <w:tcW w:type="dxa" w:w="1704"/>
            <w:vAlign w:val="top"/>
          </w:tcPr>
          <w:p>
            <w:r>
              <w:t>24,866.51</w:t>
            </w:r>
          </w:p>
        </w:tc>
        <w:tc>
          <w:tcPr>
            <w:tcW w:type="dxa" w:w="1704"/>
            <w:vAlign w:val="top"/>
          </w:tcPr>
          <w:p>
            <w:r>
              <w:t>51,567.02</w:t>
            </w:r>
          </w:p>
        </w:tc>
        <w:tc>
          <w:tcPr>
            <w:tcW w:type="dxa" w:w="1704"/>
            <w:vAlign w:val="top"/>
          </w:tcPr>
          <w:p>
            <w:r>
              <w:t>67.96%</w:t>
            </w:r>
          </w:p>
        </w:tc>
        <w:tc>
          <w:tcPr>
            <w:tcW w:type="dxa" w:w="1704"/>
            <w:vAlign w:val="top"/>
          </w:tcPr>
          <w:p>
            <w:r>
              <w:t>103.24%</w:t>
            </w:r>
          </w:p>
        </w:tc>
        <w:tc>
          <w:tcPr>
            <w:tcW w:type="dxa" w:w="1704"/>
            <w:vAlign w:val="top"/>
          </w:tcPr>
          <w:p>
            <w:r>
              <w:t>-15,192.99</w:t>
            </w:r>
          </w:p>
        </w:tc>
      </w:tr>
    </w:tbl>
    <w:p>
      <w:r>
        <w:t>Critical finding: Persistence is the strongest forecasting baseline on MAE, RMSE and WAPE. Therefore the paper must not claim that HGB or CP-HGB is the best forecaster.</w:t>
      </w:r>
    </w:p>
    <w:p>
      <w:pPr>
        <w:pStyle w:val="Heading1"/>
      </w:pPr>
      <w:r>
        <w:t>7. Failure-risk model</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rPr>
              <w:t>Measure</w:t>
            </w:r>
          </w:p>
        </w:tc>
        <w:tc>
          <w:tcPr>
            <w:tcW w:type="dxa" w:w="5112"/>
            <w:shd w:fill="D9EAF7"/>
            <w:vAlign w:val="center"/>
          </w:tcPr>
          <w:p>
            <w:r>
              <w:rPr>
                <w:b/>
              </w:rPr>
              <w:t>Result</w:t>
            </w:r>
          </w:p>
        </w:tc>
      </w:tr>
      <w:tr>
        <w:tc>
          <w:tcPr>
            <w:tcW w:type="dxa" w:w="5112"/>
            <w:vAlign w:val="top"/>
          </w:tcPr>
          <w:p>
            <w:r>
              <w:t>Features</w:t>
            </w:r>
          </w:p>
        </w:tc>
        <w:tc>
          <w:tcPr>
            <w:tcW w:type="dxa" w:w="5112"/>
            <w:vAlign w:val="top"/>
          </w:tcPr>
          <w:p>
            <w:r>
              <w:t>89</w:t>
            </w:r>
          </w:p>
        </w:tc>
      </w:tr>
      <w:tr>
        <w:tc>
          <w:tcPr>
            <w:tcW w:type="dxa" w:w="5112"/>
            <w:vAlign w:val="top"/>
          </w:tcPr>
          <w:p>
            <w:r>
              <w:t>Model</w:t>
            </w:r>
          </w:p>
        </w:tc>
        <w:tc>
          <w:tcPr>
            <w:tcW w:type="dxa" w:w="5112"/>
            <w:vAlign w:val="top"/>
          </w:tcPr>
          <w:p>
            <w:r>
              <w:t>XGBoost</w:t>
            </w:r>
          </w:p>
        </w:tc>
      </w:tr>
      <w:tr>
        <w:tc>
          <w:tcPr>
            <w:tcW w:type="dxa" w:w="5112"/>
            <w:vAlign w:val="top"/>
          </w:tcPr>
          <w:p>
            <w:r>
              <w:t>Calibrated Brier score</w:t>
            </w:r>
          </w:p>
        </w:tc>
        <w:tc>
          <w:tcPr>
            <w:tcW w:type="dxa" w:w="5112"/>
            <w:vAlign w:val="top"/>
          </w:tcPr>
          <w:p>
            <w:r>
              <w:t>0.012544</w:t>
            </w:r>
          </w:p>
        </w:tc>
      </w:tr>
      <w:tr>
        <w:tc>
          <w:tcPr>
            <w:tcW w:type="dxa" w:w="5112"/>
            <w:vAlign w:val="top"/>
          </w:tcPr>
          <w:p>
            <w:r>
              <w:t>Raw test Brier score</w:t>
            </w:r>
          </w:p>
        </w:tc>
        <w:tc>
          <w:tcPr>
            <w:tcW w:type="dxa" w:w="5112"/>
            <w:vAlign w:val="top"/>
          </w:tcPr>
          <w:p>
            <w:r>
              <w:t>0.015318</w:t>
            </w:r>
          </w:p>
        </w:tc>
      </w:tr>
      <w:tr>
        <w:tc>
          <w:tcPr>
            <w:tcW w:type="dxa" w:w="5112"/>
            <w:vAlign w:val="top"/>
          </w:tcPr>
          <w:p>
            <w:r>
              <w:t>Log loss</w:t>
            </w:r>
          </w:p>
        </w:tc>
        <w:tc>
          <w:tcPr>
            <w:tcW w:type="dxa" w:w="5112"/>
            <w:vAlign w:val="top"/>
          </w:tcPr>
          <w:p>
            <w:r>
              <w:t>0.067203</w:t>
            </w:r>
          </w:p>
        </w:tc>
      </w:tr>
      <w:tr>
        <w:tc>
          <w:tcPr>
            <w:tcW w:type="dxa" w:w="5112"/>
            <w:vAlign w:val="top"/>
          </w:tcPr>
          <w:p>
            <w:r>
              <w:t>ROC-AUC</w:t>
            </w:r>
          </w:p>
        </w:tc>
        <w:tc>
          <w:tcPr>
            <w:tcW w:type="dxa" w:w="5112"/>
            <w:vAlign w:val="top"/>
          </w:tcPr>
          <w:p>
            <w:r>
              <w:t>0.809889</w:t>
            </w:r>
          </w:p>
        </w:tc>
      </w:tr>
      <w:tr>
        <w:tc>
          <w:tcPr>
            <w:tcW w:type="dxa" w:w="5112"/>
            <w:vAlign w:val="top"/>
          </w:tcPr>
          <w:p>
            <w:r>
              <w:t>Average precision</w:t>
            </w:r>
          </w:p>
        </w:tc>
        <w:tc>
          <w:tcPr>
            <w:tcW w:type="dxa" w:w="5112"/>
            <w:vAlign w:val="top"/>
          </w:tcPr>
          <w:p>
            <w:r>
              <w:t>0.215190</w:t>
            </w:r>
          </w:p>
        </w:tc>
      </w:tr>
      <w:tr>
        <w:tc>
          <w:tcPr>
            <w:tcW w:type="dxa" w:w="5112"/>
            <w:vAlign w:val="top"/>
          </w:tcPr>
          <w:p>
            <w:r>
              <w:t>ECE</w:t>
            </w:r>
          </w:p>
        </w:tc>
        <w:tc>
          <w:tcPr>
            <w:tcW w:type="dxa" w:w="5112"/>
            <w:vAlign w:val="top"/>
          </w:tcPr>
          <w:p>
            <w:r>
              <w:t>0.021143</w:t>
            </w:r>
          </w:p>
        </w:tc>
      </w:tr>
      <w:tr>
        <w:tc>
          <w:tcPr>
            <w:tcW w:type="dxa" w:w="5112"/>
            <w:vAlign w:val="top"/>
          </w:tcPr>
          <w:p>
            <w:r>
              <w:t>Base threshold</w:t>
            </w:r>
          </w:p>
        </w:tc>
        <w:tc>
          <w:tcPr>
            <w:tcW w:type="dxa" w:w="5112"/>
            <w:vAlign w:val="top"/>
          </w:tcPr>
          <w:p>
            <w:r>
              <w:t>0.9591</w:t>
            </w:r>
          </w:p>
        </w:tc>
      </w:tr>
      <w:tr>
        <w:tc>
          <w:tcPr>
            <w:tcW w:type="dxa" w:w="5112"/>
            <w:vAlign w:val="top"/>
          </w:tcPr>
          <w:p>
            <w:r>
              <w:t>Threshold precision</w:t>
            </w:r>
          </w:p>
        </w:tc>
        <w:tc>
          <w:tcPr>
            <w:tcW w:type="dxa" w:w="5112"/>
            <w:vAlign w:val="top"/>
          </w:tcPr>
          <w:p>
            <w:r>
              <w:t>1.0000</w:t>
            </w:r>
          </w:p>
        </w:tc>
      </w:tr>
      <w:tr>
        <w:tc>
          <w:tcPr>
            <w:tcW w:type="dxa" w:w="5112"/>
            <w:vAlign w:val="top"/>
          </w:tcPr>
          <w:p>
            <w:r>
              <w:t>Threshold recall</w:t>
            </w:r>
          </w:p>
        </w:tc>
        <w:tc>
          <w:tcPr>
            <w:tcW w:type="dxa" w:w="5112"/>
            <w:vAlign w:val="top"/>
          </w:tcPr>
          <w:p>
            <w:r>
              <w:t>0.064171</w:t>
            </w:r>
          </w:p>
        </w:tc>
      </w:tr>
      <w:tr>
        <w:tc>
          <w:tcPr>
            <w:tcW w:type="dxa" w:w="5112"/>
            <w:vAlign w:val="top"/>
          </w:tcPr>
          <w:p>
            <w:r>
              <w:t>Threshold F1</w:t>
            </w:r>
          </w:p>
        </w:tc>
        <w:tc>
          <w:tcPr>
            <w:tcW w:type="dxa" w:w="5112"/>
            <w:vAlign w:val="top"/>
          </w:tcPr>
          <w:p>
            <w:r>
              <w:t>0.120603</w:t>
            </w:r>
          </w:p>
        </w:tc>
      </w:tr>
    </w:tbl>
    <w:p>
      <w:r>
        <w:t>The calibrated risk model provides a separate risk signal. The high operating threshold gives very high precision but low recall. This should be presented as a deliberate operating-point tradeoff rather than as evidence that the risk model detects most failures.</w:t>
      </w:r>
    </w:p>
    <w:p>
      <w:pPr>
        <w:pStyle w:val="Heading1"/>
      </w:pPr>
      <w:r>
        <w:t>8. Adaptive-risk and capacity-control logic</w:t>
      </w:r>
    </w:p>
    <w:p>
      <w:r>
        <w:t>The adaptive threshold starts from 0.9591 and is updated causally using a 60-minute historical failure window. It is bounded between 0.50 and 0.99. The reserve trigger compares the current calibrated risk with the threshold available before observing the current outcome. A 10% reserve factor is then applied in the normalized capacity simulation.</w:t>
      </w:r>
    </w:p>
    <w:p>
      <w:r>
        <w:t>V1 = CP-HGB forecast only; V2 = fixed risk threshold; V3 = adaptive risk; V4 = V3 plus change-point reset. The locked-test V4 result was not statistically distinguishable from the other policy variants in the earlier bootstrap comparison.</w:t>
      </w:r>
    </w:p>
    <w:p>
      <w:pPr>
        <w:pStyle w:val="Heading1"/>
      </w:pPr>
      <w:r>
        <w:t>9. Forecast-to-control results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D9EAF7"/>
            <w:vAlign w:val="center"/>
          </w:tcPr>
          <w:p>
            <w:r>
              <w:rPr>
                <w:b/>
              </w:rPr>
              <w:t>Forecaster</w:t>
            </w:r>
          </w:p>
        </w:tc>
        <w:tc>
          <w:tcPr>
            <w:tcW w:type="dxa" w:w="1704"/>
            <w:shd w:fill="D9EAF7"/>
            <w:vAlign w:val="center"/>
          </w:tcPr>
          <w:p>
            <w:r>
              <w:rPr>
                <w:b/>
              </w:rPr>
              <w:t>Under-provisioned</w:t>
            </w:r>
          </w:p>
        </w:tc>
        <w:tc>
          <w:tcPr>
            <w:tcW w:type="dxa" w:w="1704"/>
            <w:shd w:fill="D9EAF7"/>
            <w:vAlign w:val="center"/>
          </w:tcPr>
          <w:p>
            <w:r>
              <w:rPr>
                <w:b/>
              </w:rPr>
              <w:t>Mean shortage</w:t>
            </w:r>
          </w:p>
        </w:tc>
        <w:tc>
          <w:tcPr>
            <w:tcW w:type="dxa" w:w="1704"/>
            <w:shd w:fill="D9EAF7"/>
            <w:vAlign w:val="center"/>
          </w:tcPr>
          <w:p>
            <w:r>
              <w:rPr>
                <w:b/>
              </w:rPr>
              <w:t>Mean unused</w:t>
            </w:r>
          </w:p>
        </w:tc>
        <w:tc>
          <w:tcPr>
            <w:tcW w:type="dxa" w:w="1704"/>
            <w:shd w:fill="D9EAF7"/>
            <w:vAlign w:val="center"/>
          </w:tcPr>
          <w:p>
            <w:r>
              <w:rPr>
                <w:b/>
              </w:rPr>
              <w:t>Mean provisioned</w:t>
            </w:r>
          </w:p>
        </w:tc>
        <w:tc>
          <w:tcPr>
            <w:tcW w:type="dxa" w:w="1704"/>
            <w:shd w:fill="D9EAF7"/>
            <w:vAlign w:val="center"/>
          </w:tcPr>
          <w:p>
            <w:r>
              <w:rPr>
                <w:b/>
              </w:rPr>
              <w:t>Cost index</w:t>
            </w:r>
          </w:p>
        </w:tc>
      </w:tr>
      <w:tr>
        <w:tc>
          <w:tcPr>
            <w:tcW w:type="dxa" w:w="1704"/>
            <w:vAlign w:val="top"/>
          </w:tcPr>
          <w:p>
            <w:r>
              <w:t>Persistence</w:t>
            </w:r>
          </w:p>
        </w:tc>
        <w:tc>
          <w:tcPr>
            <w:tcW w:type="dxa" w:w="1704"/>
            <w:vAlign w:val="top"/>
          </w:tcPr>
          <w:p>
            <w:r>
              <w:t>39.09%</w:t>
            </w:r>
          </w:p>
        </w:tc>
        <w:tc>
          <w:tcPr>
            <w:tcW w:type="dxa" w:w="1704"/>
            <w:vAlign w:val="top"/>
          </w:tcPr>
          <w:p>
            <w:r>
              <w:t>8,268.998</w:t>
            </w:r>
          </w:p>
        </w:tc>
        <w:tc>
          <w:tcPr>
            <w:tcW w:type="dxa" w:w="1704"/>
            <w:vAlign w:val="top"/>
          </w:tcPr>
          <w:p>
            <w:r>
              <w:t>11,925.073</w:t>
            </w:r>
          </w:p>
        </w:tc>
        <w:tc>
          <w:tcPr>
            <w:tcW w:type="dxa" w:w="1704"/>
            <w:vAlign w:val="top"/>
          </w:tcPr>
          <w:p>
            <w:r>
              <w:t>40,245.960</w:t>
            </w:r>
          </w:p>
        </w:tc>
        <w:tc>
          <w:tcPr>
            <w:tcW w:type="dxa" w:w="1704"/>
            <w:vAlign w:val="top"/>
          </w:tcPr>
          <w:p>
            <w:r>
              <w:t>1.099920</w:t>
            </w:r>
          </w:p>
        </w:tc>
      </w:tr>
      <w:tr>
        <w:tc>
          <w:tcPr>
            <w:tcW w:type="dxa" w:w="1704"/>
            <w:vAlign w:val="top"/>
          </w:tcPr>
          <w:p>
            <w:r>
              <w:t>HGB</w:t>
            </w:r>
          </w:p>
        </w:tc>
        <w:tc>
          <w:tcPr>
            <w:tcW w:type="dxa" w:w="1704"/>
            <w:vAlign w:val="top"/>
          </w:tcPr>
          <w:p>
            <w:r>
              <w:t>51.06%</w:t>
            </w:r>
          </w:p>
        </w:tc>
        <w:tc>
          <w:tcPr>
            <w:tcW w:type="dxa" w:w="1704"/>
            <w:vAlign w:val="top"/>
          </w:tcPr>
          <w:p>
            <w:r>
              <w:t>17,676.152</w:t>
            </w:r>
          </w:p>
        </w:tc>
        <w:tc>
          <w:tcPr>
            <w:tcW w:type="dxa" w:w="1704"/>
            <w:vAlign w:val="top"/>
          </w:tcPr>
          <w:p>
            <w:r>
              <w:t>6,414.395</w:t>
            </w:r>
          </w:p>
        </w:tc>
        <w:tc>
          <w:tcPr>
            <w:tcW w:type="dxa" w:w="1704"/>
            <w:vAlign w:val="top"/>
          </w:tcPr>
          <w:p>
            <w:r>
              <w:t>25,328.127</w:t>
            </w:r>
          </w:p>
        </w:tc>
        <w:tc>
          <w:tcPr>
            <w:tcW w:type="dxa" w:w="1704"/>
            <w:vAlign w:val="top"/>
          </w:tcPr>
          <w:p>
            <w:r>
              <w:t>0.692217</w:t>
            </w:r>
          </w:p>
        </w:tc>
      </w:tr>
      <w:tr>
        <w:tc>
          <w:tcPr>
            <w:tcW w:type="dxa" w:w="1704"/>
            <w:vAlign w:val="top"/>
          </w:tcPr>
          <w:p>
            <w:r>
              <w:t>CP-HGB</w:t>
            </w:r>
          </w:p>
        </w:tc>
        <w:tc>
          <w:tcPr>
            <w:tcW w:type="dxa" w:w="1704"/>
            <w:vAlign w:val="top"/>
          </w:tcPr>
          <w:p>
            <w:r>
              <w:t>53.03%</w:t>
            </w:r>
          </w:p>
        </w:tc>
        <w:tc>
          <w:tcPr>
            <w:tcW w:type="dxa" w:w="1704"/>
            <w:vAlign w:val="top"/>
          </w:tcPr>
          <w:p>
            <w:r>
              <w:t>18,855.584</w:t>
            </w:r>
          </w:p>
        </w:tc>
        <w:tc>
          <w:tcPr>
            <w:tcW w:type="dxa" w:w="1704"/>
            <w:vAlign w:val="top"/>
          </w:tcPr>
          <w:p>
            <w:r>
              <w:t>5,802.286</w:t>
            </w:r>
          </w:p>
        </w:tc>
        <w:tc>
          <w:tcPr>
            <w:tcW w:type="dxa" w:w="1704"/>
            <w:vAlign w:val="top"/>
          </w:tcPr>
          <w:p>
            <w:r>
              <w:t>23,536.587</w:t>
            </w:r>
          </w:p>
        </w:tc>
        <w:tc>
          <w:tcPr>
            <w:tcW w:type="dxa" w:w="1704"/>
            <w:vAlign w:val="top"/>
          </w:tcPr>
          <w:p>
            <w:r>
              <w:t>0.643254</w:t>
            </w:r>
          </w:p>
        </w:tc>
      </w:tr>
    </w:tbl>
    <w:p>
      <w:r>
        <w:t>Interpretation: Persistence provisions more capacity and therefore has lower shortage but a higher normalized cost index. CP-HGB provisions the least capacity and has the lowest cost index, but it also has the highest shortage among these three. This is a cost-versus-shortage tradeoff, not a simple model winner.</w:t>
      </w:r>
    </w:p>
    <w:p>
      <w:pPr>
        <w:pStyle w:val="Heading1"/>
      </w:pPr>
      <w:r>
        <w:t>10. Forecast + adaptive-risk control results</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D9EAF7"/>
            <w:vAlign w:val="center"/>
          </w:tcPr>
          <w:p>
            <w:r>
              <w:rPr>
                <w:b/>
              </w:rPr>
              <w:t>Forecaster</w:t>
            </w:r>
          </w:p>
        </w:tc>
        <w:tc>
          <w:tcPr>
            <w:tcW w:type="dxa" w:w="1461"/>
            <w:shd w:fill="D9EAF7"/>
            <w:vAlign w:val="center"/>
          </w:tcPr>
          <w:p>
            <w:r>
              <w:rPr>
                <w:b/>
              </w:rPr>
              <w:t>Under-provisioned</w:t>
            </w:r>
          </w:p>
        </w:tc>
        <w:tc>
          <w:tcPr>
            <w:tcW w:type="dxa" w:w="1461"/>
            <w:shd w:fill="D9EAF7"/>
            <w:vAlign w:val="center"/>
          </w:tcPr>
          <w:p>
            <w:r>
              <w:rPr>
                <w:b/>
              </w:rPr>
              <w:t>Mean shortage</w:t>
            </w:r>
          </w:p>
        </w:tc>
        <w:tc>
          <w:tcPr>
            <w:tcW w:type="dxa" w:w="1461"/>
            <w:shd w:fill="D9EAF7"/>
            <w:vAlign w:val="center"/>
          </w:tcPr>
          <w:p>
            <w:r>
              <w:rPr>
                <w:b/>
              </w:rPr>
              <w:t>Mean unused</w:t>
            </w:r>
          </w:p>
        </w:tc>
        <w:tc>
          <w:tcPr>
            <w:tcW w:type="dxa" w:w="1461"/>
            <w:shd w:fill="D9EAF7"/>
            <w:vAlign w:val="center"/>
          </w:tcPr>
          <w:p>
            <w:r>
              <w:rPr>
                <w:b/>
              </w:rPr>
              <w:t>Mean provisioned</w:t>
            </w:r>
          </w:p>
        </w:tc>
        <w:tc>
          <w:tcPr>
            <w:tcW w:type="dxa" w:w="1461"/>
            <w:shd w:fill="D9EAF7"/>
            <w:vAlign w:val="center"/>
          </w:tcPr>
          <w:p>
            <w:r>
              <w:rPr>
                <w:b/>
              </w:rPr>
              <w:t>Cost index</w:t>
            </w:r>
          </w:p>
        </w:tc>
        <w:tc>
          <w:tcPr>
            <w:tcW w:type="dxa" w:w="1461"/>
            <w:shd w:fill="D9EAF7"/>
            <w:vAlign w:val="center"/>
          </w:tcPr>
          <w:p>
            <w:r>
              <w:rPr>
                <w:b/>
              </w:rPr>
              <w:t>Reserve activation</w:t>
            </w:r>
          </w:p>
        </w:tc>
      </w:tr>
      <w:tr>
        <w:tc>
          <w:tcPr>
            <w:tcW w:type="dxa" w:w="1461"/>
            <w:vAlign w:val="top"/>
          </w:tcPr>
          <w:p>
            <w:r>
              <w:t>Persistence</w:t>
            </w:r>
          </w:p>
        </w:tc>
        <w:tc>
          <w:tcPr>
            <w:tcW w:type="dxa" w:w="1461"/>
            <w:vAlign w:val="top"/>
          </w:tcPr>
          <w:p>
            <w:r>
              <w:t>45.50%</w:t>
            </w:r>
          </w:p>
        </w:tc>
        <w:tc>
          <w:tcPr>
            <w:tcW w:type="dxa" w:w="1461"/>
            <w:vAlign w:val="top"/>
          </w:tcPr>
          <w:p>
            <w:r>
              <w:t>9,375.677</w:t>
            </w:r>
          </w:p>
        </w:tc>
        <w:tc>
          <w:tcPr>
            <w:tcW w:type="dxa" w:w="1461"/>
            <w:vAlign w:val="top"/>
          </w:tcPr>
          <w:p>
            <w:r>
              <w:t>9,348.488</w:t>
            </w:r>
          </w:p>
        </w:tc>
        <w:tc>
          <w:tcPr>
            <w:tcW w:type="dxa" w:w="1461"/>
            <w:vAlign w:val="top"/>
          </w:tcPr>
          <w:p>
            <w:r>
              <w:t>36,562.696</w:t>
            </w:r>
          </w:p>
        </w:tc>
        <w:tc>
          <w:tcPr>
            <w:tcW w:type="dxa" w:w="1461"/>
            <w:vAlign w:val="top"/>
          </w:tcPr>
          <w:p>
            <w:r>
              <w:t>0.999257</w:t>
            </w:r>
          </w:p>
        </w:tc>
        <w:tc>
          <w:tcPr>
            <w:tcW w:type="dxa" w:w="1461"/>
            <w:vAlign w:val="top"/>
          </w:tcPr>
          <w:p>
            <w:r>
              <w:t>0.1931%</w:t>
            </w:r>
          </w:p>
        </w:tc>
      </w:tr>
      <w:tr>
        <w:tc>
          <w:tcPr>
            <w:tcW w:type="dxa" w:w="1461"/>
            <w:vAlign w:val="top"/>
          </w:tcPr>
          <w:p>
            <w:r>
              <w:t>HGB</w:t>
            </w:r>
          </w:p>
        </w:tc>
        <w:tc>
          <w:tcPr>
            <w:tcW w:type="dxa" w:w="1461"/>
            <w:vAlign w:val="top"/>
          </w:tcPr>
          <w:p>
            <w:r>
              <w:t>54.85%</w:t>
            </w:r>
          </w:p>
        </w:tc>
        <w:tc>
          <w:tcPr>
            <w:tcW w:type="dxa" w:w="1461"/>
            <w:vAlign w:val="top"/>
          </w:tcPr>
          <w:p>
            <w:r>
              <w:t>18,907.592</w:t>
            </w:r>
          </w:p>
        </w:tc>
        <w:tc>
          <w:tcPr>
            <w:tcW w:type="dxa" w:w="1461"/>
            <w:vAlign w:val="top"/>
          </w:tcPr>
          <w:p>
            <w:r>
              <w:t>5,312.409</w:t>
            </w:r>
          </w:p>
        </w:tc>
        <w:tc>
          <w:tcPr>
            <w:tcW w:type="dxa" w:w="1461"/>
            <w:vAlign w:val="top"/>
          </w:tcPr>
          <w:p>
            <w:r>
              <w:t>22,994.701</w:t>
            </w:r>
          </w:p>
        </w:tc>
        <w:tc>
          <w:tcPr>
            <w:tcW w:type="dxa" w:w="1461"/>
            <w:vAlign w:val="top"/>
          </w:tcPr>
          <w:p>
            <w:r>
              <w:t>0.628444</w:t>
            </w:r>
          </w:p>
        </w:tc>
        <w:tc>
          <w:tcPr>
            <w:tcW w:type="dxa" w:w="1461"/>
            <w:vAlign w:val="top"/>
          </w:tcPr>
          <w:p>
            <w:r>
              <w:t>0.1931%</w:t>
            </w:r>
          </w:p>
        </w:tc>
      </w:tr>
      <w:tr>
        <w:tc>
          <w:tcPr>
            <w:tcW w:type="dxa" w:w="1461"/>
            <w:vAlign w:val="top"/>
          </w:tcPr>
          <w:p>
            <w:r>
              <w:t>CP-HGB</w:t>
            </w:r>
          </w:p>
        </w:tc>
        <w:tc>
          <w:tcPr>
            <w:tcW w:type="dxa" w:w="1461"/>
            <w:vAlign w:val="top"/>
          </w:tcPr>
          <w:p>
            <w:r>
              <w:t>56.62%</w:t>
            </w:r>
          </w:p>
        </w:tc>
        <w:tc>
          <w:tcPr>
            <w:tcW w:type="dxa" w:w="1461"/>
            <w:vAlign w:val="top"/>
          </w:tcPr>
          <w:p>
            <w:r>
              <w:t>20,049.189</w:t>
            </w:r>
          </w:p>
        </w:tc>
        <w:tc>
          <w:tcPr>
            <w:tcW w:type="dxa" w:w="1461"/>
            <w:vAlign w:val="top"/>
          </w:tcPr>
          <w:p>
            <w:r>
              <w:t>4,826.089</w:t>
            </w:r>
          </w:p>
        </w:tc>
        <w:tc>
          <w:tcPr>
            <w:tcW w:type="dxa" w:w="1461"/>
            <w:vAlign w:val="top"/>
          </w:tcPr>
          <w:p>
            <w:r>
              <w:t>21,366.785</w:t>
            </w:r>
          </w:p>
        </w:tc>
        <w:tc>
          <w:tcPr>
            <w:tcW w:type="dxa" w:w="1461"/>
            <w:vAlign w:val="top"/>
          </w:tcPr>
          <w:p>
            <w:r>
              <w:t>0.583953</w:t>
            </w:r>
          </w:p>
        </w:tc>
        <w:tc>
          <w:tcPr>
            <w:tcW w:type="dxa" w:w="1461"/>
            <w:vAlign w:val="top"/>
          </w:tcPr>
          <w:p>
            <w:r>
              <w:t>0.1931%</w:t>
            </w:r>
          </w:p>
        </w:tc>
      </w:tr>
    </w:tbl>
    <w:p>
      <w:r>
        <w:t>The reserve activation rate is identical across all three forecasters (0.1931%), because the same adaptive-risk controller is applied to each forecast. Thus the downstream differences mainly reflect how the forecast interacts with the same control rule.</w:t>
      </w:r>
    </w:p>
    <w:p>
      <w:pPr>
        <w:pStyle w:val="Heading1"/>
      </w:pPr>
      <w:r>
        <w:t>11. Paired statistical inference</w:t>
      </w:r>
    </w:p>
    <w:p>
      <w:r>
        <w:t>Module 22 used paired Wilcoxon signed-rank tests and paired bootstrap 95% confidence intervals. Holm correction was applied within each metric family.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vAlign w:val="center"/>
          </w:tcPr>
          <w:p>
            <w:r>
              <w:rPr>
                <w:b/>
              </w:rPr>
              <w:t>Metric</w:t>
            </w:r>
          </w:p>
        </w:tc>
        <w:tc>
          <w:tcPr>
            <w:tcW w:type="dxa" w:w="2045"/>
            <w:shd w:fill="D9EAF7"/>
            <w:vAlign w:val="center"/>
          </w:tcPr>
          <w:p>
            <w:r>
              <w:rPr>
                <w:b/>
              </w:rPr>
              <w:t>Comparison</w:t>
            </w:r>
          </w:p>
        </w:tc>
        <w:tc>
          <w:tcPr>
            <w:tcW w:type="dxa" w:w="2045"/>
            <w:shd w:fill="D9EAF7"/>
            <w:vAlign w:val="center"/>
          </w:tcPr>
          <w:p>
            <w:r>
              <w:rPr>
                <w:b/>
              </w:rPr>
              <w:t>Mean difference</w:t>
            </w:r>
          </w:p>
        </w:tc>
        <w:tc>
          <w:tcPr>
            <w:tcW w:type="dxa" w:w="2045"/>
            <w:shd w:fill="D9EAF7"/>
            <w:vAlign w:val="center"/>
          </w:tcPr>
          <w:p>
            <w:r>
              <w:rPr>
                <w:b/>
              </w:rPr>
              <w:t>95% CI</w:t>
            </w:r>
          </w:p>
        </w:tc>
        <w:tc>
          <w:tcPr>
            <w:tcW w:type="dxa" w:w="2045"/>
            <w:shd w:fill="D9EAF7"/>
            <w:vAlign w:val="center"/>
          </w:tcPr>
          <w:p>
            <w:r>
              <w:rPr>
                <w:b/>
              </w:rPr>
              <w:t>Holm-adjusted p</w:t>
            </w:r>
          </w:p>
        </w:tc>
      </w:tr>
      <w:tr>
        <w:tc>
          <w:tcPr>
            <w:tcW w:type="dxa" w:w="2045"/>
            <w:vAlign w:val="top"/>
          </w:tcPr>
          <w:p>
            <w:r>
              <w:t>Shortage</w:t>
            </w:r>
          </w:p>
        </w:tc>
        <w:tc>
          <w:tcPr>
            <w:tcW w:type="dxa" w:w="2045"/>
            <w:vAlign w:val="top"/>
          </w:tcPr>
          <w:p>
            <w:r>
              <w:t>Persistence vs HGB</w:t>
            </w:r>
          </w:p>
        </w:tc>
        <w:tc>
          <w:tcPr>
            <w:tcW w:type="dxa" w:w="2045"/>
            <w:vAlign w:val="top"/>
          </w:tcPr>
          <w:p>
            <w:r>
              <w:t>-9,531.915</w:t>
            </w:r>
          </w:p>
        </w:tc>
        <w:tc>
          <w:tcPr>
            <w:tcW w:type="dxa" w:w="2045"/>
            <w:vAlign w:val="top"/>
          </w:tcPr>
          <w:p>
            <w:r>
              <w:t>[-10,607.247, -8,457.831]</w:t>
            </w:r>
          </w:p>
        </w:tc>
        <w:tc>
          <w:tcPr>
            <w:tcW w:type="dxa" w:w="2045"/>
            <w:vAlign w:val="top"/>
          </w:tcPr>
          <w:p>
            <w:r>
              <w:t>&lt;0.001</w:t>
            </w:r>
          </w:p>
        </w:tc>
      </w:tr>
      <w:tr>
        <w:tc>
          <w:tcPr>
            <w:tcW w:type="dxa" w:w="2045"/>
            <w:vAlign w:val="top"/>
          </w:tcPr>
          <w:p>
            <w:r>
              <w:t>Shortage</w:t>
            </w:r>
          </w:p>
        </w:tc>
        <w:tc>
          <w:tcPr>
            <w:tcW w:type="dxa" w:w="2045"/>
            <w:vAlign w:val="top"/>
          </w:tcPr>
          <w:p>
            <w:r>
              <w:t>Persistence vs CP-HGB</w:t>
            </w:r>
          </w:p>
        </w:tc>
        <w:tc>
          <w:tcPr>
            <w:tcW w:type="dxa" w:w="2045"/>
            <w:vAlign w:val="top"/>
          </w:tcPr>
          <w:p>
            <w:r>
              <w:t>-10,673.512</w:t>
            </w:r>
          </w:p>
        </w:tc>
        <w:tc>
          <w:tcPr>
            <w:tcW w:type="dxa" w:w="2045"/>
            <w:vAlign w:val="top"/>
          </w:tcPr>
          <w:p>
            <w:r>
              <w:t>[-11,811.900, -9,577.111]</w:t>
            </w:r>
          </w:p>
        </w:tc>
        <w:tc>
          <w:tcPr>
            <w:tcW w:type="dxa" w:w="2045"/>
            <w:vAlign w:val="top"/>
          </w:tcPr>
          <w:p>
            <w:r>
              <w:t>&lt;0.001</w:t>
            </w:r>
          </w:p>
        </w:tc>
      </w:tr>
      <w:tr>
        <w:tc>
          <w:tcPr>
            <w:tcW w:type="dxa" w:w="2045"/>
            <w:vAlign w:val="top"/>
          </w:tcPr>
          <w:p>
            <w:r>
              <w:t>Shortage</w:t>
            </w:r>
          </w:p>
        </w:tc>
        <w:tc>
          <w:tcPr>
            <w:tcW w:type="dxa" w:w="2045"/>
            <w:vAlign w:val="top"/>
          </w:tcPr>
          <w:p>
            <w:r>
              <w:t>HGB vs CP-HGB</w:t>
            </w:r>
          </w:p>
        </w:tc>
        <w:tc>
          <w:tcPr>
            <w:tcW w:type="dxa" w:w="2045"/>
            <w:vAlign w:val="top"/>
          </w:tcPr>
          <w:p>
            <w:r>
              <w:t>-1,141.597</w:t>
            </w:r>
          </w:p>
        </w:tc>
        <w:tc>
          <w:tcPr>
            <w:tcW w:type="dxa" w:w="2045"/>
            <w:vAlign w:val="top"/>
          </w:tcPr>
          <w:p>
            <w:r>
              <w:t>[-1,324.292, -969.071]</w:t>
            </w:r>
          </w:p>
        </w:tc>
        <w:tc>
          <w:tcPr>
            <w:tcW w:type="dxa" w:w="2045"/>
            <w:vAlign w:val="top"/>
          </w:tcPr>
          <w:p>
            <w:r>
              <w:t>&lt;0.001</w:t>
            </w:r>
          </w:p>
        </w:tc>
      </w:tr>
      <w:tr>
        <w:tc>
          <w:tcPr>
            <w:tcW w:type="dxa" w:w="2045"/>
            <w:vAlign w:val="top"/>
          </w:tcPr>
          <w:p>
            <w:r>
              <w:t>Unused capacity</w:t>
            </w:r>
          </w:p>
        </w:tc>
        <w:tc>
          <w:tcPr>
            <w:tcW w:type="dxa" w:w="2045"/>
            <w:vAlign w:val="top"/>
          </w:tcPr>
          <w:p>
            <w:r>
              <w:t>Persistence vs HGB</w:t>
            </w:r>
          </w:p>
        </w:tc>
        <w:tc>
          <w:tcPr>
            <w:tcW w:type="dxa" w:w="2045"/>
            <w:vAlign w:val="top"/>
          </w:tcPr>
          <w:p>
            <w:r>
              <w:t>4,036.080</w:t>
            </w:r>
          </w:p>
        </w:tc>
        <w:tc>
          <w:tcPr>
            <w:tcW w:type="dxa" w:w="2045"/>
            <w:vAlign w:val="top"/>
          </w:tcPr>
          <w:p>
            <w:r>
              <w:t>[3,086.840, 5,044.864]</w:t>
            </w:r>
          </w:p>
        </w:tc>
        <w:tc>
          <w:tcPr>
            <w:tcW w:type="dxa" w:w="2045"/>
            <w:vAlign w:val="top"/>
          </w:tcPr>
          <w:p>
            <w:r>
              <w:t>&lt;0.001</w:t>
            </w:r>
          </w:p>
        </w:tc>
      </w:tr>
      <w:tr>
        <w:tc>
          <w:tcPr>
            <w:tcW w:type="dxa" w:w="2045"/>
            <w:vAlign w:val="top"/>
          </w:tcPr>
          <w:p>
            <w:r>
              <w:t>Unused capacity</w:t>
            </w:r>
          </w:p>
        </w:tc>
        <w:tc>
          <w:tcPr>
            <w:tcW w:type="dxa" w:w="2045"/>
            <w:vAlign w:val="top"/>
          </w:tcPr>
          <w:p>
            <w:r>
              <w:t>Persistence vs CP-HGB</w:t>
            </w:r>
          </w:p>
        </w:tc>
        <w:tc>
          <w:tcPr>
            <w:tcW w:type="dxa" w:w="2045"/>
            <w:vAlign w:val="top"/>
          </w:tcPr>
          <w:p>
            <w:r>
              <w:t>4,522.399</w:t>
            </w:r>
          </w:p>
        </w:tc>
        <w:tc>
          <w:tcPr>
            <w:tcW w:type="dxa" w:w="2045"/>
            <w:vAlign w:val="top"/>
          </w:tcPr>
          <w:p>
            <w:r>
              <w:t>[3,558.457, 5,540.281]</w:t>
            </w:r>
          </w:p>
        </w:tc>
        <w:tc>
          <w:tcPr>
            <w:tcW w:type="dxa" w:w="2045"/>
            <w:vAlign w:val="top"/>
          </w:tcPr>
          <w:p>
            <w:r>
              <w:t>&lt;0.001</w:t>
            </w:r>
          </w:p>
        </w:tc>
      </w:tr>
      <w:tr>
        <w:tc>
          <w:tcPr>
            <w:tcW w:type="dxa" w:w="2045"/>
            <w:vAlign w:val="top"/>
          </w:tcPr>
          <w:p>
            <w:r>
              <w:t>Unused capacity</w:t>
            </w:r>
          </w:p>
        </w:tc>
        <w:tc>
          <w:tcPr>
            <w:tcW w:type="dxa" w:w="2045"/>
            <w:vAlign w:val="top"/>
          </w:tcPr>
          <w:p>
            <w:r>
              <w:t>HGB vs CP-HGB</w:t>
            </w:r>
          </w:p>
        </w:tc>
        <w:tc>
          <w:tcPr>
            <w:tcW w:type="dxa" w:w="2045"/>
            <w:vAlign w:val="top"/>
          </w:tcPr>
          <w:p>
            <w:r>
              <w:t>486.319</w:t>
            </w:r>
          </w:p>
        </w:tc>
        <w:tc>
          <w:tcPr>
            <w:tcW w:type="dxa" w:w="2045"/>
            <w:vAlign w:val="top"/>
          </w:tcPr>
          <w:p>
            <w:r>
              <w:t>[293.819, 669.491]</w:t>
            </w:r>
          </w:p>
        </w:tc>
        <w:tc>
          <w:tcPr>
            <w:tcW w:type="dxa" w:w="2045"/>
            <w:vAlign w:val="top"/>
          </w:tcPr>
          <w:p>
            <w:r>
              <w:t>&lt;0.001</w:t>
            </w:r>
          </w:p>
        </w:tc>
      </w:tr>
      <w:tr>
        <w:tc>
          <w:tcPr>
            <w:tcW w:type="dxa" w:w="2045"/>
            <w:vAlign w:val="top"/>
          </w:tcPr>
          <w:p>
            <w:r>
              <w:t>Provisioned capacity</w:t>
            </w:r>
          </w:p>
        </w:tc>
        <w:tc>
          <w:tcPr>
            <w:tcW w:type="dxa" w:w="2045"/>
            <w:vAlign w:val="top"/>
          </w:tcPr>
          <w:p>
            <w:r>
              <w:t>Persistence vs HGB</w:t>
            </w:r>
          </w:p>
        </w:tc>
        <w:tc>
          <w:tcPr>
            <w:tcW w:type="dxa" w:w="2045"/>
            <w:vAlign w:val="top"/>
          </w:tcPr>
          <w:p>
            <w:r>
              <w:t>13,567.995</w:t>
            </w:r>
          </w:p>
        </w:tc>
        <w:tc>
          <w:tcPr>
            <w:tcW w:type="dxa" w:w="2045"/>
            <w:vAlign w:val="top"/>
          </w:tcPr>
          <w:p>
            <w:r>
              <w:t>[11,970.856, 15,177.052]</w:t>
            </w:r>
          </w:p>
        </w:tc>
        <w:tc>
          <w:tcPr>
            <w:tcW w:type="dxa" w:w="2045"/>
            <w:vAlign w:val="top"/>
          </w:tcPr>
          <w:p>
            <w:r>
              <w:t>&lt;0.001</w:t>
            </w:r>
          </w:p>
        </w:tc>
      </w:tr>
      <w:tr>
        <w:tc>
          <w:tcPr>
            <w:tcW w:type="dxa" w:w="2045"/>
            <w:vAlign w:val="top"/>
          </w:tcPr>
          <w:p>
            <w:r>
              <w:t>Provisioned capacity</w:t>
            </w:r>
          </w:p>
        </w:tc>
        <w:tc>
          <w:tcPr>
            <w:tcW w:type="dxa" w:w="2045"/>
            <w:vAlign w:val="top"/>
          </w:tcPr>
          <w:p>
            <w:r>
              <w:t>Persistence vs CP-HGB</w:t>
            </w:r>
          </w:p>
        </w:tc>
        <w:tc>
          <w:tcPr>
            <w:tcW w:type="dxa" w:w="2045"/>
            <w:vAlign w:val="top"/>
          </w:tcPr>
          <w:p>
            <w:r>
              <w:t>15,195.911</w:t>
            </w:r>
          </w:p>
        </w:tc>
        <w:tc>
          <w:tcPr>
            <w:tcW w:type="dxa" w:w="2045"/>
            <w:vAlign w:val="top"/>
          </w:tcPr>
          <w:p>
            <w:r>
              <w:t>[13,598.124, 16,898.241]</w:t>
            </w:r>
          </w:p>
        </w:tc>
        <w:tc>
          <w:tcPr>
            <w:tcW w:type="dxa" w:w="2045"/>
            <w:vAlign w:val="top"/>
          </w:tcPr>
          <w:p>
            <w:r>
              <w:t>&lt;0.001</w:t>
            </w:r>
          </w:p>
        </w:tc>
      </w:tr>
      <w:tr>
        <w:tc>
          <w:tcPr>
            <w:tcW w:type="dxa" w:w="2045"/>
            <w:vAlign w:val="top"/>
          </w:tcPr>
          <w:p>
            <w:r>
              <w:t>Provisioned capacity</w:t>
            </w:r>
          </w:p>
        </w:tc>
        <w:tc>
          <w:tcPr>
            <w:tcW w:type="dxa" w:w="2045"/>
            <w:vAlign w:val="top"/>
          </w:tcPr>
          <w:p>
            <w:r>
              <w:t>HGB vs CP-HGB</w:t>
            </w:r>
          </w:p>
        </w:tc>
        <w:tc>
          <w:tcPr>
            <w:tcW w:type="dxa" w:w="2045"/>
            <w:vAlign w:val="top"/>
          </w:tcPr>
          <w:p>
            <w:r>
              <w:t>1,627.916</w:t>
            </w:r>
          </w:p>
        </w:tc>
        <w:tc>
          <w:tcPr>
            <w:tcW w:type="dxa" w:w="2045"/>
            <w:vAlign w:val="top"/>
          </w:tcPr>
          <w:p>
            <w:r>
              <w:t>[1,361.450, 1,898.736]</w:t>
            </w:r>
          </w:p>
        </w:tc>
        <w:tc>
          <w:tcPr>
            <w:tcW w:type="dxa" w:w="2045"/>
            <w:vAlign w:val="top"/>
          </w:tcPr>
          <w:p>
            <w:r>
              <w:t>&lt;0.001</w:t>
            </w:r>
          </w:p>
        </w:tc>
      </w:tr>
      <w:tr>
        <w:tc>
          <w:tcPr>
            <w:tcW w:type="dxa" w:w="2045"/>
            <w:vAlign w:val="top"/>
          </w:tcPr>
          <w:p>
            <w:r>
              <w:t>Absolute control error</w:t>
            </w:r>
          </w:p>
        </w:tc>
        <w:tc>
          <w:tcPr>
            <w:tcW w:type="dxa" w:w="2045"/>
            <w:vAlign w:val="top"/>
          </w:tcPr>
          <w:p>
            <w:r>
              <w:t>Persistence vs HGB</w:t>
            </w:r>
          </w:p>
        </w:tc>
        <w:tc>
          <w:tcPr>
            <w:tcW w:type="dxa" w:w="2045"/>
            <w:vAlign w:val="top"/>
          </w:tcPr>
          <w:p>
            <w:r>
              <w:t>-5,495.835</w:t>
            </w:r>
          </w:p>
        </w:tc>
        <w:tc>
          <w:tcPr>
            <w:tcW w:type="dxa" w:w="2045"/>
            <w:vAlign w:val="top"/>
          </w:tcPr>
          <w:p>
            <w:r>
              <w:t>[-6,805.647, -4,234.191]</w:t>
            </w:r>
          </w:p>
        </w:tc>
        <w:tc>
          <w:tcPr>
            <w:tcW w:type="dxa" w:w="2045"/>
            <w:vAlign w:val="top"/>
          </w:tcPr>
          <w:p>
            <w:r>
              <w:t>&lt;0.001</w:t>
            </w:r>
          </w:p>
        </w:tc>
      </w:tr>
      <w:tr>
        <w:tc>
          <w:tcPr>
            <w:tcW w:type="dxa" w:w="2045"/>
            <w:vAlign w:val="top"/>
          </w:tcPr>
          <w:p>
            <w:r>
              <w:t>Absolute control error</w:t>
            </w:r>
          </w:p>
        </w:tc>
        <w:tc>
          <w:tcPr>
            <w:tcW w:type="dxa" w:w="2045"/>
            <w:vAlign w:val="top"/>
          </w:tcPr>
          <w:p>
            <w:r>
              <w:t>Persistence vs CP-HGB</w:t>
            </w:r>
          </w:p>
        </w:tc>
        <w:tc>
          <w:tcPr>
            <w:tcW w:type="dxa" w:w="2045"/>
            <w:vAlign w:val="top"/>
          </w:tcPr>
          <w:p>
            <w:r>
              <w:t>-6,151.113</w:t>
            </w:r>
          </w:p>
        </w:tc>
        <w:tc>
          <w:tcPr>
            <w:tcW w:type="dxa" w:w="2045"/>
            <w:vAlign w:val="top"/>
          </w:tcPr>
          <w:p>
            <w:r>
              <w:t>[-7,454.515, -4,812.547]</w:t>
            </w:r>
          </w:p>
        </w:tc>
        <w:tc>
          <w:tcPr>
            <w:tcW w:type="dxa" w:w="2045"/>
            <w:vAlign w:val="top"/>
          </w:tcPr>
          <w:p>
            <w:r>
              <w:t>&lt;0.001</w:t>
            </w:r>
          </w:p>
        </w:tc>
      </w:tr>
      <w:tr>
        <w:tc>
          <w:tcPr>
            <w:tcW w:type="dxa" w:w="2045"/>
            <w:vAlign w:val="top"/>
          </w:tcPr>
          <w:p>
            <w:r>
              <w:t>Absolute control error</w:t>
            </w:r>
          </w:p>
        </w:tc>
        <w:tc>
          <w:tcPr>
            <w:tcW w:type="dxa" w:w="2045"/>
            <w:vAlign w:val="top"/>
          </w:tcPr>
          <w:p>
            <w:r>
              <w:t>HGB vs CP-HGB</w:t>
            </w:r>
          </w:p>
        </w:tc>
        <w:tc>
          <w:tcPr>
            <w:tcW w:type="dxa" w:w="2045"/>
            <w:vAlign w:val="top"/>
          </w:tcPr>
          <w:p>
            <w:r>
              <w:t>-655.278</w:t>
            </w:r>
          </w:p>
        </w:tc>
        <w:tc>
          <w:tcPr>
            <w:tcW w:type="dxa" w:w="2045"/>
            <w:vAlign w:val="top"/>
          </w:tcPr>
          <w:p>
            <w:r>
              <w:t>[-911.409, -416.804]</w:t>
            </w:r>
          </w:p>
        </w:tc>
        <w:tc>
          <w:tcPr>
            <w:tcW w:type="dxa" w:w="2045"/>
            <w:vAlign w:val="top"/>
          </w:tcPr>
          <w:p>
            <w:r>
              <w:t>&lt;0.001</w:t>
            </w:r>
          </w:p>
        </w:tc>
      </w:tr>
    </w:tbl>
    <w:p>
      <w:r>
        <w:t>Final statistical audit: 12/12 paired comparisons were significant after Holm correction.</w:t>
      </w:r>
    </w:p>
    <w:p>
      <w:pPr>
        <w:pStyle w:val="Heading1"/>
      </w:pPr>
      <w:r>
        <w:t>12. Ablation and robustness findings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rPr>
              <w:t>Experiment</w:t>
            </w:r>
          </w:p>
        </w:tc>
        <w:tc>
          <w:tcPr>
            <w:tcW w:type="dxa" w:w="5112"/>
            <w:shd w:fill="D9EAF7"/>
            <w:vAlign w:val="center"/>
          </w:tcPr>
          <w:p>
            <w:r>
              <w:rPr>
                <w:b/>
              </w:rPr>
              <w:t>Finding</w:t>
            </w:r>
          </w:p>
        </w:tc>
      </w:tr>
      <w:tr>
        <w:tc>
          <w:tcPr>
            <w:tcW w:type="dxa" w:w="5112"/>
            <w:vAlign w:val="top"/>
          </w:tcPr>
          <w:p>
            <w:r>
              <w:t>Failure-risk ablation</w:t>
            </w:r>
          </w:p>
        </w:tc>
        <w:tc>
          <w:tcPr>
            <w:tcW w:type="dxa" w:w="5112"/>
            <w:vAlign w:val="top"/>
          </w:tcPr>
          <w:p>
            <w:r>
              <w:t>Removing 17 historical zero-response features reduced ROC-AUC from 0.805 to 0.712 and AP from 0.195 to 0.041; threshold precision/recall/F1 became 0.</w:t>
            </w:r>
          </w:p>
        </w:tc>
      </w:tr>
      <w:tr>
        <w:tc>
          <w:tcPr>
            <w:tcW w:type="dxa" w:w="5112"/>
            <w:vAlign w:val="top"/>
          </w:tcPr>
          <w:p>
            <w:r>
              <w:t>Change-point sensitivity</w:t>
            </w:r>
          </w:p>
        </w:tc>
        <w:tc>
          <w:tcPr>
            <w:tcW w:type="dxa" w:w="5112"/>
            <w:vAlign w:val="top"/>
          </w:tcPr>
          <w:p>
            <w:r>
              <w:t>81 configurations were tested; alarm counts changed substantially.</w:t>
            </w:r>
          </w:p>
        </w:tc>
      </w:tr>
      <w:tr>
        <w:tc>
          <w:tcPr>
            <w:tcW w:type="dxa" w:w="5112"/>
            <w:vAlign w:val="top"/>
          </w:tcPr>
          <w:p>
            <w:r>
              <w:t>Downstream robustness</w:t>
            </w:r>
          </w:p>
        </w:tc>
        <w:tc>
          <w:tcPr>
            <w:tcW w:type="dxa" w:w="5112"/>
            <w:vAlign w:val="top"/>
          </w:tcPr>
          <w:p>
            <w:r>
              <w:t>Selected change-point configurations produced the same locked-test under-provisioning (56.4697%) and mean shortage (20,029.2166) in the reported downstream robustness test.</w:t>
            </w:r>
          </w:p>
        </w:tc>
      </w:tr>
      <w:tr>
        <w:tc>
          <w:tcPr>
            <w:tcW w:type="dxa" w:w="5112"/>
            <w:vAlign w:val="top"/>
          </w:tcPr>
          <w:p>
            <w:r>
              <w:t>Forecast bootstrap</w:t>
            </w:r>
          </w:p>
        </w:tc>
        <w:tc>
          <w:tcPr>
            <w:tcW w:type="dxa" w:w="5112"/>
            <w:vAlign w:val="top"/>
          </w:tcPr>
          <w:p>
            <w:r>
              <w:t>Raw HGB vs CP-HGB MAE difference was significant, but Holm-adjusted MAE p=0.247; squared-error difference remained significant after Holm correction.</w:t>
            </w:r>
          </w:p>
        </w:tc>
      </w:tr>
      <w:tr>
        <w:tc>
          <w:tcPr>
            <w:tcW w:type="dxa" w:w="5112"/>
            <w:vAlign w:val="top"/>
          </w:tcPr>
          <w:p>
            <w:r>
              <w:t>Policy variants V1–V4</w:t>
            </w:r>
          </w:p>
        </w:tc>
        <w:tc>
          <w:tcPr>
            <w:tcW w:type="dxa" w:w="5112"/>
            <w:vAlign w:val="top"/>
          </w:tcPr>
          <w:p>
            <w:r>
              <w:t>Earlier bootstrap comparison found no significant locked-test differences after Holm correction.</w:t>
            </w:r>
          </w:p>
        </w:tc>
      </w:tr>
    </w:tbl>
    <w:p>
      <w:pPr>
        <w:pStyle w:val="Heading1"/>
      </w:pPr>
      <w:r>
        <w:t>13. What the implementation successfully demonstrates</w:t>
      </w:r>
    </w:p>
    <w:p>
      <w:pPr>
        <w:pStyle w:val="ListBullet"/>
      </w:pPr>
      <w:r>
        <w:t>A reproducible short-term LLM workload forecasting pipeline from raw trace to locked-test evaluation.</w:t>
      </w:r>
    </w:p>
    <w:p>
      <w:pPr>
        <w:pStyle w:val="ListBullet"/>
      </w:pPr>
      <w:r>
        <w:t>A change-point-aware workload forecasting variant.</w:t>
      </w:r>
    </w:p>
    <w:p>
      <w:pPr>
        <w:pStyle w:val="ListBullet"/>
      </w:pPr>
      <w:r>
        <w:t>A separately trained and calibrated failure-risk signal.</w:t>
      </w:r>
    </w:p>
    <w:p>
      <w:pPr>
        <w:pStyle w:val="ListBullet"/>
      </w:pPr>
      <w:r>
        <w:t>A causal adaptive risk-threshold mechanism.</w:t>
      </w:r>
    </w:p>
    <w:p>
      <w:pPr>
        <w:pStyle w:val="ListBullet"/>
      </w:pPr>
      <w:r>
        <w:t>A downstream normalized workload-capacity control simulation.</w:t>
      </w:r>
    </w:p>
    <w:p>
      <w:pPr>
        <w:pStyle w:val="ListBullet"/>
      </w:pPr>
      <w:r>
        <w:t>Statistically paired comparisons across forecasting/control choices.</w:t>
      </w:r>
    </w:p>
    <w:p>
      <w:pPr>
        <w:pStyle w:val="ListBullet"/>
      </w:pPr>
      <w:r>
        <w:t>Ablation and change-point sensitivity/robustness analysis.</w:t>
      </w:r>
    </w:p>
    <w:p>
      <w:pPr>
        <w:pStyle w:val="ListBullet"/>
      </w:pPr>
      <w:r>
        <w:t>A final reproducibility audit and SHA256 freeze manifest.</w:t>
      </w:r>
    </w:p>
    <w:p>
      <w:pPr>
        <w:pStyle w:val="Heading1"/>
      </w:pPr>
      <w:r>
        <w:t>14. What the implementation does NOT demonstrate</w:t>
      </w:r>
    </w:p>
    <w:p>
      <w:pPr>
        <w:pStyle w:val="ListBullet"/>
      </w:pPr>
      <w:r>
        <w:t>It does not demonstrate that CP-HGB is the most accurate short-term workload forecaster.</w:t>
      </w:r>
    </w:p>
    <w:p>
      <w:pPr>
        <w:pStyle w:val="ListBullet"/>
      </w:pPr>
      <w:r>
        <w:t>It does not demonstrate that the proposed controller minimizes shortage and cost simultaneously.</w:t>
      </w:r>
    </w:p>
    <w:p>
      <w:pPr>
        <w:pStyle w:val="ListBullet"/>
      </w:pPr>
      <w:r>
        <w:t>It does not convert tokens into GPU count, CPU count, memory, or dollar cost.</w:t>
      </w:r>
    </w:p>
    <w:p>
      <w:pPr>
        <w:pStyle w:val="ListBullet"/>
      </w:pPr>
      <w:r>
        <w:t>It does not demonstrate production autoscaling or real cloud deployment.</w:t>
      </w:r>
    </w:p>
    <w:p>
      <w:pPr>
        <w:pStyle w:val="ListBullet"/>
      </w:pPr>
      <w:r>
        <w:t>It does not establish real-world service-level objectives such as latency or SLO compliance.</w:t>
      </w:r>
    </w:p>
    <w:p>
      <w:pPr>
        <w:pStyle w:val="ListBullet"/>
      </w:pPr>
      <w:r>
        <w:t>It does not show that adaptive risk materially improves the locked-test policy metrics over every baseline.</w:t>
      </w:r>
    </w:p>
    <w:p>
      <w:pPr>
        <w:pStyle w:val="ListBullet"/>
      </w:pPr>
      <w:r>
        <w:t>It does not justify saying that the model detects most failures; the operating recall is only 6.42%.</w:t>
      </w:r>
    </w:p>
    <w:p>
      <w:pPr>
        <w:pStyle w:val="ListBullet"/>
      </w:pPr>
      <w:r>
        <w:t>It does not support hiding the persistence baseline or presenting only the proposed model results.</w:t>
      </w:r>
    </w:p>
    <w:p>
      <w:pPr>
        <w:pStyle w:val="Heading1"/>
      </w:pPr>
      <w:r>
        <w:t>15. What should be in the paper</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rPr>
              <w:t>Paper section</w:t>
            </w:r>
          </w:p>
        </w:tc>
        <w:tc>
          <w:tcPr>
            <w:tcW w:type="dxa" w:w="5112"/>
            <w:shd w:fill="D9EAF7"/>
            <w:vAlign w:val="center"/>
          </w:tcPr>
          <w:p>
            <w:r>
              <w:rPr>
                <w:b/>
              </w:rPr>
              <w:t>Include</w:t>
            </w:r>
          </w:p>
        </w:tc>
      </w:tr>
      <w:tr>
        <w:tc>
          <w:tcPr>
            <w:tcW w:type="dxa" w:w="5112"/>
            <w:vAlign w:val="top"/>
          </w:tcPr>
          <w:p>
            <w:r>
              <w:t>Problem</w:t>
            </w:r>
          </w:p>
        </w:tc>
        <w:tc>
          <w:tcPr>
            <w:tcW w:type="dxa" w:w="5112"/>
            <w:vAlign w:val="top"/>
          </w:tcPr>
          <w:p>
            <w:r>
              <w:t>Short-horizon LLM workload prediction linked to adaptive capacity decisions.</w:t>
            </w:r>
          </w:p>
        </w:tc>
      </w:tr>
      <w:tr>
        <w:tc>
          <w:tcPr>
            <w:tcW w:type="dxa" w:w="5112"/>
            <w:vAlign w:val="top"/>
          </w:tcPr>
          <w:p>
            <w:r>
              <w:t>Method</w:t>
            </w:r>
          </w:p>
        </w:tc>
        <w:tc>
          <w:tcPr>
            <w:tcW w:type="dxa" w:w="5112"/>
            <w:vAlign w:val="top"/>
          </w:tcPr>
          <w:p>
            <w:r>
              <w:t>Workload features, HGB/CP-HGB, failure-risk XGBoost, calibration, adaptive threshold, reserve policy, change-point reset.</w:t>
            </w:r>
          </w:p>
        </w:tc>
      </w:tr>
      <w:tr>
        <w:tc>
          <w:tcPr>
            <w:tcW w:type="dxa" w:w="5112"/>
            <w:vAlign w:val="top"/>
          </w:tcPr>
          <w:p>
            <w:r>
              <w:t>Experimental design</w:t>
            </w:r>
          </w:p>
        </w:tc>
        <w:tc>
          <w:tcPr>
            <w:tcW w:type="dxa" w:w="5112"/>
            <w:vAlign w:val="top"/>
          </w:tcPr>
          <w:p>
            <w:r>
              <w:t>Chronological train/calibration/locked-test separation and no test leakage.</w:t>
            </w:r>
          </w:p>
        </w:tc>
      </w:tr>
      <w:tr>
        <w:tc>
          <w:tcPr>
            <w:tcW w:type="dxa" w:w="5112"/>
            <w:vAlign w:val="top"/>
          </w:tcPr>
          <w:p>
            <w:r>
              <w:t>Forecast results</w:t>
            </w:r>
          </w:p>
        </w:tc>
        <w:tc>
          <w:tcPr>
            <w:tcW w:type="dxa" w:w="5112"/>
            <w:vAlign w:val="top"/>
          </w:tcPr>
          <w:p>
            <w:r>
              <w:t>All baselines, especially Persistence; report that Persistence is strongest on core forecast metrics.</w:t>
            </w:r>
          </w:p>
        </w:tc>
      </w:tr>
      <w:tr>
        <w:tc>
          <w:tcPr>
            <w:tcW w:type="dxa" w:w="5112"/>
            <w:vAlign w:val="top"/>
          </w:tcPr>
          <w:p>
            <w:r>
              <w:t>Control results</w:t>
            </w:r>
          </w:p>
        </w:tc>
        <w:tc>
          <w:tcPr>
            <w:tcW w:type="dxa" w:w="5112"/>
            <w:vAlign w:val="top"/>
          </w:tcPr>
          <w:p>
            <w:r>
              <w:t>Cost–shortage tradeoff across Persistence/HGB/CP-HGB.</w:t>
            </w:r>
          </w:p>
        </w:tc>
      </w:tr>
      <w:tr>
        <w:tc>
          <w:tcPr>
            <w:tcW w:type="dxa" w:w="5112"/>
            <w:vAlign w:val="top"/>
          </w:tcPr>
          <w:p>
            <w:r>
              <w:t>Statistics</w:t>
            </w:r>
          </w:p>
        </w:tc>
        <w:tc>
          <w:tcPr>
            <w:tcW w:type="dxa" w:w="5112"/>
            <w:vAlign w:val="top"/>
          </w:tcPr>
          <w:p>
            <w:r>
              <w:t>Paired Wilcoxon/bootstrap analysis with Holm correction.</w:t>
            </w:r>
          </w:p>
        </w:tc>
      </w:tr>
      <w:tr>
        <w:tc>
          <w:tcPr>
            <w:tcW w:type="dxa" w:w="5112"/>
            <w:vAlign w:val="top"/>
          </w:tcPr>
          <w:p>
            <w:r>
              <w:t>Ablation</w:t>
            </w:r>
          </w:p>
        </w:tc>
        <w:tc>
          <w:tcPr>
            <w:tcW w:type="dxa" w:w="5112"/>
            <w:vAlign w:val="top"/>
          </w:tcPr>
          <w:p>
            <w:r>
              <w:t>Historical zero-response feature ablation.</w:t>
            </w:r>
          </w:p>
        </w:tc>
      </w:tr>
      <w:tr>
        <w:tc>
          <w:tcPr>
            <w:tcW w:type="dxa" w:w="5112"/>
            <w:vAlign w:val="top"/>
          </w:tcPr>
          <w:p>
            <w:r>
              <w:t>Robustness</w:t>
            </w:r>
          </w:p>
        </w:tc>
        <w:tc>
          <w:tcPr>
            <w:tcW w:type="dxa" w:w="5112"/>
            <w:vAlign w:val="top"/>
          </w:tcPr>
          <w:p>
            <w:r>
              <w:t>Change-point sensitivity and downstream robustness.</w:t>
            </w:r>
          </w:p>
        </w:tc>
      </w:tr>
      <w:tr>
        <w:tc>
          <w:tcPr>
            <w:tcW w:type="dxa" w:w="5112"/>
            <w:vAlign w:val="top"/>
          </w:tcPr>
          <w:p>
            <w:r>
              <w:t>Limitations</w:t>
            </w:r>
          </w:p>
        </w:tc>
        <w:tc>
          <w:tcPr>
            <w:tcW w:type="dxa" w:w="5112"/>
            <w:vAlign w:val="top"/>
          </w:tcPr>
          <w:p>
            <w:r>
              <w:t>Normalized capacity, no real cloud deployment, high WAPE/sMAPE, low risk recall, and persistence outperforming learned forecasters on forecast accuracy.</w:t>
            </w:r>
          </w:p>
        </w:tc>
      </w:tr>
      <w:tr>
        <w:tc>
          <w:tcPr>
            <w:tcW w:type="dxa" w:w="5112"/>
            <w:vAlign w:val="top"/>
          </w:tcPr>
          <w:p>
            <w:r>
              <w:t>Conclusion</w:t>
            </w:r>
          </w:p>
        </w:tc>
        <w:tc>
          <w:tcPr>
            <w:tcW w:type="dxa" w:w="5112"/>
            <w:vAlign w:val="top"/>
          </w:tcPr>
          <w:p>
            <w:r>
              <w:t>Frame the contribution as an integrated prediction-to-control evaluation/framework, not as a universally superior forecasting model.</w:t>
            </w:r>
          </w:p>
        </w:tc>
      </w:tr>
    </w:tbl>
    <w:p>
      <w:pPr>
        <w:pStyle w:val="Heading1"/>
      </w:pPr>
      <w:r>
        <w:t>16. What should NOT be claimed to the supervisor/reviewer</w:t>
      </w:r>
    </w:p>
    <w:p>
      <w:pPr>
        <w:pStyle w:val="ListBullet"/>
      </w:pPr>
      <w:r>
        <w:t>“Our model gives the best forecast.”</w:t>
      </w:r>
    </w:p>
    <w:p>
      <w:pPr>
        <w:pStyle w:val="ListBullet"/>
      </w:pPr>
      <w:r>
        <w:t>“CP-HGB significantly outperforms HGB on all forecast metrics.”</w:t>
      </w:r>
    </w:p>
    <w:p>
      <w:pPr>
        <w:pStyle w:val="ListBullet"/>
      </w:pPr>
      <w:r>
        <w:t>“Our system reduces under-provisioning while also reducing cost in every comparison.”</w:t>
      </w:r>
    </w:p>
    <w:p>
      <w:pPr>
        <w:pStyle w:val="ListBullet"/>
      </w:pPr>
      <w:r>
        <w:t>“The system automatically determines the required number of GPUs.”</w:t>
      </w:r>
    </w:p>
    <w:p>
      <w:pPr>
        <w:pStyle w:val="ListBullet"/>
      </w:pPr>
      <w:r>
        <w:t>“This is a production-ready cloud autoscaler.”</w:t>
      </w:r>
    </w:p>
    <w:p>
      <w:pPr>
        <w:pStyle w:val="ListBullet"/>
      </w:pPr>
      <w:r>
        <w:t>“The failure detector catches most failures.”</w:t>
      </w:r>
    </w:p>
    <w:p>
      <w:pPr>
        <w:pStyle w:val="Heading1"/>
      </w:pPr>
      <w:r>
        <w:t>17. Simple explanation for viva / supervisor discussion</w:t>
      </w:r>
    </w:p>
    <w:p>
      <w:r>
        <w:t>“I built an end-to-end experimental pipeline for short-term LLM workload prediction and adaptive capacity control. I first validated the BurstGPT trace, created minute and five-minute workload views, engineered temporal and change-point features, and trained short-horizon forecasting models. I then built a separate failure-risk model, calibrated its probabilities, and used a causal adaptive threshold to decide when to activate a 10% reserve. Finally, I evaluated how different forecasters affect normalized capacity cost and shortage on a locked chronological test set. The important result is not that CP-HGB is the most accurate predictor—it is not. Persistence is the strongest forecasting baseline. Instead, the experiments show a statistically significant tradeoff between provisioning, shortage and control error, and they quantify how forecast choice interacts with adaptive control.”</w:t>
      </w:r>
    </w:p>
    <w:p>
      <w:pPr>
        <w:pStyle w:val="Heading1"/>
      </w:pPr>
      <w:r>
        <w:t>18. Final implementation status</w:t>
      </w:r>
    </w:p>
    <w:p>
      <w:r>
        <w:rPr>
          <w:b/>
        </w:rPr>
        <w:t>IMPLEMENTATION FROZEN — PAPER WRITING READY</w:t>
      </w:r>
    </w:p>
    <w:p>
      <w:r>
        <w:t>Module 23 passed all final implementation checks. A reproducibility freeze manifest was created. Any future change to the experimental pipeline should be treated as a new experiment/version rather than a modification of the frozen results.</w:t>
      </w:r>
    </w:p>
    <w:p>
      <w:pPr>
        <w:pStyle w:val="Heading1"/>
      </w:pPr>
      <w:r>
        <w:t>19. Final numbers to remember</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rPr>
              <w:t>Question</w:t>
            </w:r>
          </w:p>
        </w:tc>
        <w:tc>
          <w:tcPr>
            <w:tcW w:type="dxa" w:w="5112"/>
            <w:shd w:fill="D9EAF7"/>
            <w:vAlign w:val="center"/>
          </w:tcPr>
          <w:p>
            <w:r>
              <w:rPr>
                <w:b/>
              </w:rPr>
              <w:t>Answer</w:t>
            </w:r>
          </w:p>
        </w:tc>
      </w:tr>
      <w:tr>
        <w:tc>
          <w:tcPr>
            <w:tcW w:type="dxa" w:w="5112"/>
            <w:vAlign w:val="top"/>
          </w:tcPr>
          <w:p>
            <w:r>
              <w:t>How many raw workload rows?</w:t>
            </w:r>
          </w:p>
        </w:tc>
        <w:tc>
          <w:tcPr>
            <w:tcW w:type="dxa" w:w="5112"/>
            <w:vAlign w:val="top"/>
          </w:tcPr>
          <w:p>
            <w:r>
              <w:t>1,429,737</w:t>
            </w:r>
          </w:p>
        </w:tc>
      </w:tr>
      <w:tr>
        <w:tc>
          <w:tcPr>
            <w:tcW w:type="dxa" w:w="5112"/>
            <w:vAlign w:val="top"/>
          </w:tcPr>
          <w:p>
            <w:r>
              <w:t>How many locked-test forecast rows?</w:t>
            </w:r>
          </w:p>
        </w:tc>
        <w:tc>
          <w:tcPr>
            <w:tcW w:type="dxa" w:w="5112"/>
            <w:vAlign w:val="top"/>
          </w:tcPr>
          <w:p>
            <w:r>
              <w:t>2,589</w:t>
            </w:r>
          </w:p>
        </w:tc>
      </w:tr>
      <w:tr>
        <w:tc>
          <w:tcPr>
            <w:tcW w:type="dxa" w:w="5112"/>
            <w:vAlign w:val="top"/>
          </w:tcPr>
          <w:p>
            <w:r>
              <w:t>Best core forecast baseline?</w:t>
            </w:r>
          </w:p>
        </w:tc>
        <w:tc>
          <w:tcPr>
            <w:tcW w:type="dxa" w:w="5112"/>
            <w:vAlign w:val="top"/>
          </w:tcPr>
          <w:p>
            <w:r>
              <w:t>Persistence</w:t>
            </w:r>
          </w:p>
        </w:tc>
      </w:tr>
      <w:tr>
        <w:tc>
          <w:tcPr>
            <w:tcW w:type="dxa" w:w="5112"/>
            <w:vAlign w:val="top"/>
          </w:tcPr>
          <w:p>
            <w:r>
              <w:t>CP-HGB WAPE?</w:t>
            </w:r>
          </w:p>
        </w:tc>
        <w:tc>
          <w:tcPr>
            <w:tcW w:type="dxa" w:w="5112"/>
            <w:vAlign w:val="top"/>
          </w:tcPr>
          <w:p>
            <w:r>
              <w:t>67.96%</w:t>
            </w:r>
          </w:p>
        </w:tc>
      </w:tr>
      <w:tr>
        <w:tc>
          <w:tcPr>
            <w:tcW w:type="dxa" w:w="5112"/>
            <w:vAlign w:val="top"/>
          </w:tcPr>
          <w:p>
            <w:r>
              <w:t>HGB WAPE?</w:t>
            </w:r>
          </w:p>
        </w:tc>
        <w:tc>
          <w:tcPr>
            <w:tcW w:type="dxa" w:w="5112"/>
            <w:vAlign w:val="top"/>
          </w:tcPr>
          <w:p>
            <w:r>
              <w:t>66.17%</w:t>
            </w:r>
          </w:p>
        </w:tc>
      </w:tr>
      <w:tr>
        <w:tc>
          <w:tcPr>
            <w:tcW w:type="dxa" w:w="5112"/>
            <w:vAlign w:val="top"/>
          </w:tcPr>
          <w:p>
            <w:r>
              <w:t>Persistence WAPE?</w:t>
            </w:r>
          </w:p>
        </w:tc>
        <w:tc>
          <w:tcPr>
            <w:tcW w:type="dxa" w:w="5112"/>
            <w:vAlign w:val="top"/>
          </w:tcPr>
          <w:p>
            <w:r>
              <w:t>51.16%</w:t>
            </w:r>
          </w:p>
        </w:tc>
      </w:tr>
      <w:tr>
        <w:tc>
          <w:tcPr>
            <w:tcW w:type="dxa" w:w="5112"/>
            <w:vAlign w:val="top"/>
          </w:tcPr>
          <w:p>
            <w:r>
              <w:t>Risk ROC-AUC?</w:t>
            </w:r>
          </w:p>
        </w:tc>
        <w:tc>
          <w:tcPr>
            <w:tcW w:type="dxa" w:w="5112"/>
            <w:vAlign w:val="top"/>
          </w:tcPr>
          <w:p>
            <w:r>
              <w:t>0.809889</w:t>
            </w:r>
          </w:p>
        </w:tc>
      </w:tr>
      <w:tr>
        <w:tc>
          <w:tcPr>
            <w:tcW w:type="dxa" w:w="5112"/>
            <w:vAlign w:val="top"/>
          </w:tcPr>
          <w:p>
            <w:r>
              <w:t>Risk operating recall?</w:t>
            </w:r>
          </w:p>
        </w:tc>
        <w:tc>
          <w:tcPr>
            <w:tcW w:type="dxa" w:w="5112"/>
            <w:vAlign w:val="top"/>
          </w:tcPr>
          <w:p>
            <w:r>
              <w:t>6.42%</w:t>
            </w:r>
          </w:p>
        </w:tc>
      </w:tr>
      <w:tr>
        <w:tc>
          <w:tcPr>
            <w:tcW w:type="dxa" w:w="5112"/>
            <w:vAlign w:val="top"/>
          </w:tcPr>
          <w:p>
            <w:r>
              <w:t>Adaptive reserve activation?</w:t>
            </w:r>
          </w:p>
        </w:tc>
        <w:tc>
          <w:tcPr>
            <w:tcW w:type="dxa" w:w="5112"/>
            <w:vAlign w:val="top"/>
          </w:tcPr>
          <w:p>
            <w:r>
              <w:t>0.1931%</w:t>
            </w:r>
          </w:p>
        </w:tc>
      </w:tr>
      <w:tr>
        <w:tc>
          <w:tcPr>
            <w:tcW w:type="dxa" w:w="5112"/>
            <w:vAlign w:val="top"/>
          </w:tcPr>
          <w:p>
            <w:r>
              <w:t>CP-HGB adaptive-control cost index?</w:t>
            </w:r>
          </w:p>
        </w:tc>
        <w:tc>
          <w:tcPr>
            <w:tcW w:type="dxa" w:w="5112"/>
            <w:vAlign w:val="top"/>
          </w:tcPr>
          <w:p>
            <w:r>
              <w:t>0.583953</w:t>
            </w:r>
          </w:p>
        </w:tc>
      </w:tr>
      <w:tr>
        <w:tc>
          <w:tcPr>
            <w:tcW w:type="dxa" w:w="5112"/>
            <w:vAlign w:val="top"/>
          </w:tcPr>
          <w:p>
            <w:r>
              <w:t>Persistence adaptive-control cost index?</w:t>
            </w:r>
          </w:p>
        </w:tc>
        <w:tc>
          <w:tcPr>
            <w:tcW w:type="dxa" w:w="5112"/>
            <w:vAlign w:val="top"/>
          </w:tcPr>
          <w:p>
            <w:r>
              <w:t>0.999257</w:t>
            </w:r>
          </w:p>
        </w:tc>
      </w:tr>
      <w:tr>
        <w:tc>
          <w:tcPr>
            <w:tcW w:type="dxa" w:w="5112"/>
            <w:vAlign w:val="top"/>
          </w:tcPr>
          <w:p>
            <w:r>
              <w:t>Persistence adaptive-control mean shortage?</w:t>
            </w:r>
          </w:p>
        </w:tc>
        <w:tc>
          <w:tcPr>
            <w:tcW w:type="dxa" w:w="5112"/>
            <w:vAlign w:val="top"/>
          </w:tcPr>
          <w:p>
            <w:r>
              <w:t>9,375.677</w:t>
            </w:r>
          </w:p>
        </w:tc>
      </w:tr>
      <w:tr>
        <w:tc>
          <w:tcPr>
            <w:tcW w:type="dxa" w:w="5112"/>
            <w:vAlign w:val="top"/>
          </w:tcPr>
          <w:p>
            <w:r>
              <w:t>CP-HGB adaptive-control mean shortage?</w:t>
            </w:r>
          </w:p>
        </w:tc>
        <w:tc>
          <w:tcPr>
            <w:tcW w:type="dxa" w:w="5112"/>
            <w:vAlign w:val="top"/>
          </w:tcPr>
          <w:p>
            <w:r>
              <w:t>20,049.189</w:t>
            </w:r>
          </w:p>
        </w:tc>
      </w:tr>
      <w:tr>
        <w:tc>
          <w:tcPr>
            <w:tcW w:type="dxa" w:w="5112"/>
            <w:vAlign w:val="top"/>
          </w:tcPr>
          <w:p>
            <w:r>
              <w:t>Paired statistical comparisons significant after Holm?</w:t>
            </w:r>
          </w:p>
        </w:tc>
        <w:tc>
          <w:tcPr>
            <w:tcW w:type="dxa" w:w="5112"/>
            <w:vAlign w:val="top"/>
          </w:tcPr>
          <w:p>
            <w:r>
              <w:t>12/12</w:t>
            </w:r>
          </w:p>
        </w:tc>
      </w:tr>
      <w:tr>
        <w:tc>
          <w:tcPr>
            <w:tcW w:type="dxa" w:w="5112"/>
            <w:vAlign w:val="top"/>
          </w:tcPr>
          <w:p>
            <w:r>
              <w:t>Implementation status?</w:t>
            </w:r>
          </w:p>
        </w:tc>
        <w:tc>
          <w:tcPr>
            <w:tcW w:type="dxa" w:w="5112"/>
            <w:vAlign w:val="top"/>
          </w:tcPr>
          <w:p>
            <w:r>
              <w:t>FROZEN</w:t>
            </w:r>
          </w:p>
        </w:tc>
      </w:tr>
    </w:tbl>
    <w:p>
      <w:pPr>
        <w:pStyle w:val="Heading1"/>
      </w:pPr>
      <w:r>
        <w:t>20. Source/output artifacts</w:t>
      </w:r>
    </w:p>
    <w:p>
      <w:r>
        <w:t>The implementation generated model files, prediction files, policy outputs, tables, figures, metadata, validation results and the final Module 23 freeze manifest. The exact artifact hashes are stored in results/validation/module23_freeze_manifest.json.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