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1F3864"/>
          <w:sz w:val="48"/>
          <w:szCs w:val="48"/>
        </w:rPr>
        <w:t xml:space="preserve">HOUSE PRICE PREDICTION</w:t>
      </w:r>
    </w:p>
    <w:p>
      <w:pPr>
        <w:spacing w:after="260"/>
        <w:jc w:val="center"/>
      </w:pPr>
      <w:r>
        <w:rPr>
          <w:rFonts w:ascii="Calibri" w:cs="Calibri" w:eastAsia="Calibri" w:hAnsi="Calibri"/>
          <w:b/>
          <w:bCs/>
          <w:color w:val="2E75B6"/>
          <w:sz w:val="30"/>
          <w:szCs w:val="30"/>
        </w:rPr>
        <w:t xml:space="preserve">PROJECT SUMMARY REPORT</w:t>
      </w:r>
    </w:p>
    <w:p>
      <w:pPr>
        <w:pBdr>
          <w:bottom w:val="single" w:color="2E75B6" w:sz="10" w:space="10"/>
        </w:pBdr>
        <w:spacing w:after="40"/>
        <w:jc w:val="center"/>
      </w:pPr>
      <w:r>
        <w:rPr>
          <w:sz w:val="4"/>
          <w:szCs w:val="4"/>
        </w:rPr>
        <w:t xml:space="preserve"> </w:t>
      </w:r>
    </w:p>
    <w:p>
      <w:pPr>
        <w:spacing w:before="320"/>
      </w:pPr>
    </w:p>
    <w:p>
      <w:pPr>
        <w:tabs>
          <w:tab w:val="left" w:pos="1900"/>
        </w:tabs>
        <w:spacing w:after="60"/>
      </w:pPr>
      <w:r>
        <w:rPr>
          <w:rFonts w:ascii="Calibri" w:cs="Calibri" w:eastAsia="Calibri" w:hAnsi="Calibri"/>
          <w:b/>
          <w:bCs/>
          <w:color w:val="1F3864"/>
          <w:sz w:val="22"/>
          <w:szCs w:val="22"/>
        </w:rPr>
        <w:t xml:space="preserve">Prepared by:</w:t>
      </w:r>
      <w:r>
        <w:rPr>
          <w:rFonts w:ascii="Calibri" w:cs="Calibri" w:eastAsia="Calibri" w:hAnsi="Calibri"/>
          <w:color w:val="262626"/>
          <w:sz w:val="22"/>
          <w:szCs w:val="22"/>
        </w:rPr>
        <w:t xml:space="preserve">	Tirth Shah</w:t>
      </w:r>
    </w:p>
    <w:p>
      <w:pPr>
        <w:tabs>
          <w:tab w:val="left" w:pos="1900"/>
        </w:tabs>
        <w:spacing w:after="60"/>
      </w:pPr>
      <w:r>
        <w:rPr>
          <w:rFonts w:ascii="Calibri" w:cs="Calibri" w:eastAsia="Calibri" w:hAnsi="Calibri"/>
          <w:b/>
          <w:bCs/>
          <w:color w:val="1F3864"/>
          <w:sz w:val="22"/>
          <w:szCs w:val="22"/>
        </w:rPr>
        <w:t xml:space="preserve">Date:</w:t>
      </w:r>
      <w:r>
        <w:rPr>
          <w:rFonts w:ascii="Calibri" w:cs="Calibri" w:eastAsia="Calibri" w:hAnsi="Calibri"/>
          <w:color w:val="262626"/>
          <w:sz w:val="22"/>
          <w:szCs w:val="22"/>
        </w:rPr>
        <w:t xml:space="preserve">	21 May 2026</w:t>
      </w:r>
    </w:p>
    <w:p>
      <w:pPr>
        <w:tabs>
          <w:tab w:val="left" w:pos="1900"/>
        </w:tabs>
        <w:spacing w:after="60"/>
      </w:pPr>
      <w:r>
        <w:rPr>
          <w:rFonts w:ascii="Calibri" w:cs="Calibri" w:eastAsia="Calibri" w:hAnsi="Calibri"/>
          <w:b/>
          <w:bCs/>
          <w:color w:val="1F3864"/>
          <w:sz w:val="22"/>
          <w:szCs w:val="22"/>
        </w:rPr>
        <w:t xml:space="preserve">Dataset:</w:t>
      </w:r>
      <w:r>
        <w:rPr>
          <w:rFonts w:ascii="Calibri" w:cs="Calibri" w:eastAsia="Calibri" w:hAnsi="Calibri"/>
          <w:color w:val="262626"/>
          <w:sz w:val="22"/>
          <w:szCs w:val="22"/>
        </w:rPr>
        <w:t xml:space="preserve">	Housing.csv (Kaggle Housing Prices Dataset)</w:t>
      </w:r>
    </w:p>
    <w:p>
      <w:pPr>
        <w:tabs>
          <w:tab w:val="left" w:pos="1900"/>
        </w:tabs>
        <w:spacing w:after="60"/>
      </w:pPr>
      <w:r>
        <w:rPr>
          <w:rFonts w:ascii="Calibri" w:cs="Calibri" w:eastAsia="Calibri" w:hAnsi="Calibri"/>
          <w:b/>
          <w:bCs/>
          <w:color w:val="1F3864"/>
          <w:sz w:val="22"/>
          <w:szCs w:val="22"/>
        </w:rPr>
        <w:t xml:space="preserve">Models Compared:</w:t>
      </w:r>
      <w:r>
        <w:rPr>
          <w:rFonts w:ascii="Calibri" w:cs="Calibri" w:eastAsia="Calibri" w:hAnsi="Calibri"/>
          <w:color w:val="262626"/>
          <w:sz w:val="22"/>
          <w:szCs w:val="22"/>
        </w:rPr>
        <w:t xml:space="preserve">	Linear Regression vs. Random Forest</w:t>
      </w:r>
    </w:p>
    <w:p>
      <w:r>
        <w:br w:type="page"/>
      </w:r>
    </w:p>
    <w:p>
      <w:pPr>
        <w:pStyle w:val="Heading1"/>
        <w:pBdr>
          <w:bottom w:val="single" w:color="2E75B6" w:sz="6" w:space="4"/>
        </w:pBdr>
        <w:spacing w:after="200" w:before="420"/>
      </w:pPr>
      <w:r>
        <w:rPr>
          <w:rFonts w:ascii="Calibri" w:cs="Calibri" w:eastAsia="Calibri" w:hAnsi="Calibri"/>
          <w:b/>
          <w:bCs/>
          <w:color w:val="2E75B6"/>
        </w:rPr>
        <w:t xml:space="preserve">1.  </w:t>
      </w:r>
      <w:r>
        <w:rPr>
          <w:rFonts w:ascii="Calibri" w:cs="Calibri" w:eastAsia="Calibri" w:hAnsi="Calibri"/>
          <w:b/>
          <w:bCs/>
        </w:rPr>
        <w:t xml:space="preserve">Project Overview</w:t>
      </w:r>
    </w:p>
    <w:p>
      <w:pPr>
        <w:spacing w:after="160" w:line="276"/>
      </w:pPr>
      <w:r>
        <w:rPr>
          <w:rFonts w:ascii="Calibri" w:cs="Calibri" w:eastAsia="Calibri" w:hAnsi="Calibri"/>
          <w:color w:val="262626"/>
          <w:sz w:val="22"/>
          <w:szCs w:val="22"/>
        </w:rPr>
        <w:t xml:space="preserve">This project builds a regression model to predict house prices based on property features such as area, bedrooms, bathrooms, stories, parking, and amenities. Two models were trained and compared: Linear Regression and Random Forest.</w:t>
      </w:r>
    </w:p>
    <w:p>
      <w:pPr>
        <w:pStyle w:val="Heading1"/>
        <w:pBdr>
          <w:bottom w:val="single" w:color="2E75B6" w:sz="6" w:space="4"/>
        </w:pBdr>
        <w:spacing w:after="200" w:before="420"/>
      </w:pPr>
      <w:r>
        <w:rPr>
          <w:rFonts w:ascii="Calibri" w:cs="Calibri" w:eastAsia="Calibri" w:hAnsi="Calibri"/>
          <w:b/>
          <w:bCs/>
          <w:color w:val="2E75B6"/>
        </w:rPr>
        <w:t xml:space="preserve">2.  </w:t>
      </w:r>
      <w:r>
        <w:rPr>
          <w:rFonts w:ascii="Calibri" w:cs="Calibri" w:eastAsia="Calibri" w:hAnsi="Calibri"/>
          <w:b/>
          <w:bCs/>
        </w:rPr>
        <w:t xml:space="preserve">Dataset Details</w:t>
      </w:r>
    </w:p>
    <w:p>
      <w:pPr>
        <w:pStyle w:val="ListParagraph"/>
        <w:numPr>
          <w:ilvl w:val="0"/>
          <w:numId w:val="2"/>
        </w:numPr>
        <w:spacing w:after="90" w:line="268"/>
      </w:pPr>
      <w:r>
        <w:rPr>
          <w:rFonts w:ascii="Calibri" w:cs="Calibri" w:eastAsia="Calibri" w:hAnsi="Calibri"/>
          <w:b/>
          <w:bCs/>
          <w:sz w:val="22"/>
          <w:szCs w:val="22"/>
        </w:rPr>
        <w:t xml:space="preserve">Source: </w:t>
      </w:r>
      <w:r>
        <w:rPr>
          <w:rFonts w:ascii="Calibri" w:cs="Calibri" w:eastAsia="Calibri" w:hAnsi="Calibri"/>
          <w:sz w:val="22"/>
          <w:szCs w:val="22"/>
        </w:rPr>
        <w:t xml:space="preserve">Housing.csv (Kaggle Housing Prices Dataset)</w:t>
      </w:r>
    </w:p>
    <w:p>
      <w:pPr>
        <w:pStyle w:val="ListParagraph"/>
        <w:numPr>
          <w:ilvl w:val="0"/>
          <w:numId w:val="2"/>
        </w:numPr>
        <w:spacing w:after="90" w:line="268"/>
      </w:pPr>
      <w:r>
        <w:rPr>
          <w:rFonts w:ascii="Calibri" w:cs="Calibri" w:eastAsia="Calibri" w:hAnsi="Calibri"/>
          <w:b/>
          <w:bCs/>
          <w:sz w:val="22"/>
          <w:szCs w:val="22"/>
        </w:rPr>
        <w:t xml:space="preserve">Total Records: </w:t>
      </w:r>
      <w:r>
        <w:rPr>
          <w:rFonts w:ascii="Calibri" w:cs="Calibri" w:eastAsia="Calibri" w:hAnsi="Calibri"/>
          <w:sz w:val="22"/>
          <w:szCs w:val="22"/>
        </w:rPr>
        <w:t xml:space="preserve">545 houses</w:t>
      </w:r>
    </w:p>
    <w:p>
      <w:pPr>
        <w:pStyle w:val="ListParagraph"/>
        <w:numPr>
          <w:ilvl w:val="0"/>
          <w:numId w:val="2"/>
        </w:numPr>
        <w:spacing w:after="90" w:line="268"/>
      </w:pPr>
      <w:r>
        <w:rPr>
          <w:rFonts w:ascii="Calibri" w:cs="Calibri" w:eastAsia="Calibri" w:hAnsi="Calibri"/>
          <w:b/>
          <w:bCs/>
          <w:sz w:val="22"/>
          <w:szCs w:val="22"/>
        </w:rPr>
        <w:t xml:space="preserve">Features: </w:t>
      </w:r>
      <w:r>
        <w:rPr>
          <w:rFonts w:ascii="Calibri" w:cs="Calibri" w:eastAsia="Calibri" w:hAnsi="Calibri"/>
          <w:sz w:val="22"/>
          <w:szCs w:val="22"/>
        </w:rPr>
        <w:t xml:space="preserve">12 (area, bedrooms, bathrooms, stories, mainroad, guestroom, basement, hotwaterheating, airconditioning, parking, prefarea, furnishingstatus)</w:t>
      </w:r>
    </w:p>
    <w:p>
      <w:pPr>
        <w:pStyle w:val="ListParagraph"/>
        <w:numPr>
          <w:ilvl w:val="0"/>
          <w:numId w:val="2"/>
        </w:numPr>
        <w:spacing w:after="90" w:line="268"/>
      </w:pPr>
      <w:r>
        <w:rPr>
          <w:rFonts w:ascii="Calibri" w:cs="Calibri" w:eastAsia="Calibri" w:hAnsi="Calibri"/>
          <w:b/>
          <w:bCs/>
          <w:sz w:val="22"/>
          <w:szCs w:val="22"/>
        </w:rPr>
        <w:t xml:space="preserve">Target: </w:t>
      </w:r>
      <w:r>
        <w:rPr>
          <w:rFonts w:ascii="Calibri" w:cs="Calibri" w:eastAsia="Calibri" w:hAnsi="Calibri"/>
          <w:sz w:val="22"/>
          <w:szCs w:val="22"/>
        </w:rPr>
        <w:t xml:space="preserve">price</w:t>
      </w:r>
    </w:p>
    <w:p>
      <w:pPr>
        <w:pStyle w:val="ListParagraph"/>
        <w:numPr>
          <w:ilvl w:val="0"/>
          <w:numId w:val="2"/>
        </w:numPr>
        <w:spacing w:after="90" w:line="268"/>
      </w:pPr>
      <w:r>
        <w:rPr>
          <w:rFonts w:ascii="Calibri" w:cs="Calibri" w:eastAsia="Calibri" w:hAnsi="Calibri"/>
          <w:b/>
          <w:bCs/>
          <w:sz w:val="22"/>
          <w:szCs w:val="22"/>
        </w:rPr>
        <w:t xml:space="preserve">Missing Values: </w:t>
      </w:r>
      <w:r>
        <w:rPr>
          <w:rFonts w:ascii="Calibri" w:cs="Calibri" w:eastAsia="Calibri" w:hAnsi="Calibri"/>
          <w:sz w:val="22"/>
          <w:szCs w:val="22"/>
        </w:rPr>
        <w:t xml:space="preserve">0</w:t>
      </w:r>
    </w:p>
    <w:p>
      <w:pPr>
        <w:pStyle w:val="ListParagraph"/>
        <w:numPr>
          <w:ilvl w:val="0"/>
          <w:numId w:val="2"/>
        </w:numPr>
        <w:spacing w:after="90" w:line="268"/>
      </w:pPr>
      <w:r>
        <w:rPr>
          <w:rFonts w:ascii="Calibri" w:cs="Calibri" w:eastAsia="Calibri" w:hAnsi="Calibri"/>
          <w:b/>
          <w:bCs/>
          <w:sz w:val="22"/>
          <w:szCs w:val="22"/>
        </w:rPr>
        <w:t xml:space="preserve">Duplicate Rows: </w:t>
      </w:r>
      <w:r>
        <w:rPr>
          <w:rFonts w:ascii="Calibri" w:cs="Calibri" w:eastAsia="Calibri" w:hAnsi="Calibri"/>
          <w:sz w:val="22"/>
          <w:szCs w:val="22"/>
        </w:rPr>
        <w:t xml:space="preserve">0</w:t>
      </w:r>
    </w:p>
    <w:p>
      <w:pPr>
        <w:pStyle w:val="Heading1"/>
        <w:pBdr>
          <w:bottom w:val="single" w:color="2E75B6" w:sz="6" w:space="4"/>
        </w:pBdr>
        <w:spacing w:after="200" w:before="420"/>
      </w:pPr>
      <w:r>
        <w:rPr>
          <w:rFonts w:ascii="Calibri" w:cs="Calibri" w:eastAsia="Calibri" w:hAnsi="Calibri"/>
          <w:b/>
          <w:bCs/>
          <w:color w:val="2E75B6"/>
        </w:rPr>
        <w:t xml:space="preserve">3.  </w:t>
      </w:r>
      <w:r>
        <w:rPr>
          <w:rFonts w:ascii="Calibri" w:cs="Calibri" w:eastAsia="Calibri" w:hAnsi="Calibri"/>
          <w:b/>
          <w:bCs/>
        </w:rPr>
        <w:t xml:space="preserve">Data Cleaning Steps</w:t>
      </w:r>
    </w:p>
    <w:p>
      <w:pPr>
        <w:pStyle w:val="ListParagraph"/>
        <w:numPr>
          <w:ilvl w:val="0"/>
          <w:numId w:val="3"/>
        </w:numPr>
        <w:spacing w:after="90" w:line="268"/>
      </w:pPr>
      <w:r>
        <w:rPr>
          <w:rFonts w:ascii="Calibri" w:cs="Calibri" w:eastAsia="Calibri" w:hAnsi="Calibri"/>
          <w:color w:val="262626"/>
          <w:sz w:val="22"/>
          <w:szCs w:val="22"/>
        </w:rPr>
        <w:t xml:space="preserve">Verified no missing values or duplicates.</w:t>
      </w:r>
    </w:p>
    <w:p>
      <w:pPr>
        <w:pStyle w:val="ListParagraph"/>
        <w:numPr>
          <w:ilvl w:val="0"/>
          <w:numId w:val="3"/>
        </w:numPr>
        <w:spacing w:after="90" w:line="268"/>
      </w:pPr>
      <w:r>
        <w:rPr>
          <w:rFonts w:ascii="Calibri" w:cs="Calibri" w:eastAsia="Calibri" w:hAnsi="Calibri"/>
          <w:color w:val="262626"/>
          <w:sz w:val="22"/>
          <w:szCs w:val="22"/>
        </w:rPr>
        <w:t xml:space="preserve">Converted binary yes/no columns to 1/0: mainroad, guestroom, basement, hotwaterheating, airconditioning, prefarea.</w:t>
      </w:r>
    </w:p>
    <w:p>
      <w:pPr>
        <w:pStyle w:val="ListParagraph"/>
        <w:numPr>
          <w:ilvl w:val="0"/>
          <w:numId w:val="3"/>
        </w:numPr>
        <w:spacing w:after="90" w:line="268"/>
      </w:pPr>
      <w:r>
        <w:rPr>
          <w:rFonts w:ascii="Calibri" w:cs="Calibri" w:eastAsia="Calibri" w:hAnsi="Calibri"/>
          <w:color w:val="262626"/>
          <w:sz w:val="22"/>
          <w:szCs w:val="22"/>
        </w:rPr>
        <w:t xml:space="preserve">Applied one-hot encoding to furnishingstatus (semi-furnished, unfurnished).</w:t>
      </w:r>
    </w:p>
    <w:p>
      <w:pPr>
        <w:pStyle w:val="ListParagraph"/>
        <w:numPr>
          <w:ilvl w:val="0"/>
          <w:numId w:val="3"/>
        </w:numPr>
        <w:spacing w:after="90" w:line="268"/>
      </w:pPr>
      <w:r>
        <w:rPr>
          <w:rFonts w:ascii="Calibri" w:cs="Calibri" w:eastAsia="Calibri" w:hAnsi="Calibri"/>
          <w:color w:val="262626"/>
          <w:sz w:val="22"/>
          <w:szCs w:val="22"/>
        </w:rPr>
        <w:t xml:space="preserve">All 13 features converted to numeric format for modeling.</w:t>
      </w:r>
    </w:p>
    <w:p>
      <w:pPr>
        <w:pStyle w:val="Heading1"/>
        <w:pBdr>
          <w:bottom w:val="single" w:color="2E75B6" w:sz="6" w:space="4"/>
        </w:pBdr>
        <w:spacing w:after="200" w:before="420"/>
      </w:pPr>
      <w:r>
        <w:rPr>
          <w:rFonts w:ascii="Calibri" w:cs="Calibri" w:eastAsia="Calibri" w:hAnsi="Calibri"/>
          <w:b/>
          <w:bCs/>
          <w:color w:val="2E75B6"/>
        </w:rPr>
        <w:t xml:space="preserve">4.  </w:t>
      </w:r>
      <w:r>
        <w:rPr>
          <w:rFonts w:ascii="Calibri" w:cs="Calibri" w:eastAsia="Calibri" w:hAnsi="Calibri"/>
          <w:b/>
          <w:bCs/>
        </w:rPr>
        <w:t xml:space="preserve">Model Results</w:t>
      </w:r>
    </w:p>
    <w:p>
      <w:pPr>
        <w:spacing w:after="160" w:line="276"/>
      </w:pPr>
      <w:r>
        <w:rPr>
          <w:rFonts w:ascii="Calibri" w:cs="Calibri" w:eastAsia="Calibri" w:hAnsi="Calibri"/>
          <w:color w:val="262626"/>
          <w:sz w:val="22"/>
          <w:szCs w:val="22"/>
        </w:rPr>
        <w:t xml:space="preserve">The two models were evaluated using Mean Absolute Error (MAE), Root Mean Squared Error (RMSE), and R² Score on the test set: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tblGrid>
      <w:tr>
        <w:trPr>
          <w:tblHeader/>
        </w:trPr>
        <w:tc>
          <w:tcPr>
            <w:tcW w:type="dxa" w:w="30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1"/>
                <w:szCs w:val="21"/>
              </w:rPr>
              <w:t xml:space="preserve">Metric</w:t>
            </w:r>
          </w:p>
        </w:tc>
        <w:tc>
          <w:tcPr>
            <w:tcW w:type="dxa" w:w="30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1"/>
                <w:szCs w:val="21"/>
              </w:rPr>
              <w:t xml:space="preserve">Linear Regression</w:t>
            </w:r>
          </w:p>
        </w:tc>
        <w:tc>
          <w:tcPr>
            <w:tcW w:type="dxa" w:w="30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1"/>
                <w:szCs w:val="21"/>
              </w:rPr>
              <w:t xml:space="preserve">Random Forest</w:t>
            </w:r>
          </w:p>
        </w:tc>
      </w:tr>
      <w:tr>
        <w:tc>
          <w:tcPr>
            <w:tcW w:type="dxa" w:w="30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alibri" w:cs="Calibri" w:eastAsia="Calibri" w:hAnsi="Calibri"/>
                <w:b/>
                <w:bCs/>
                <w:color w:val="1F3864"/>
                <w:sz w:val="21"/>
                <w:szCs w:val="21"/>
              </w:rPr>
              <w:t xml:space="preserve">MAE</w:t>
            </w:r>
          </w:p>
        </w:tc>
        <w:tc>
          <w:tcPr>
            <w:tcW w:type="dxa" w:w="308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62626"/>
                <w:sz w:val="21"/>
                <w:szCs w:val="21"/>
              </w:rPr>
              <w:t xml:space="preserve">₹970,043</w:t>
            </w:r>
          </w:p>
        </w:tc>
        <w:tc>
          <w:tcPr>
            <w:tcW w:type="dxa" w:w="30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center"/>
            </w:pPr>
            <w:r>
              <w:rPr>
                <w:rFonts w:ascii="Calibri" w:cs="Calibri" w:eastAsia="Calibri" w:hAnsi="Calibri"/>
                <w:color w:val="262626"/>
                <w:sz w:val="21"/>
                <w:szCs w:val="21"/>
              </w:rPr>
              <w:t xml:space="preserve">₹1,022,560</w:t>
            </w:r>
          </w:p>
        </w:tc>
      </w:tr>
      <w:tr>
        <w:tc>
          <w:tcPr>
            <w:tcW w:type="dxa" w:w="30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alibri" w:cs="Calibri" w:eastAsia="Calibri" w:hAnsi="Calibri"/>
                <w:b/>
                <w:bCs/>
                <w:color w:val="1F3864"/>
                <w:sz w:val="21"/>
                <w:szCs w:val="21"/>
              </w:rPr>
              <w:t xml:space="preserve">RMSE</w:t>
            </w:r>
          </w:p>
        </w:tc>
        <w:tc>
          <w:tcPr>
            <w:tcW w:type="dxa" w:w="308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62626"/>
                <w:sz w:val="21"/>
                <w:szCs w:val="21"/>
              </w:rPr>
              <w:t xml:space="preserve">₹1,324,507</w:t>
            </w:r>
          </w:p>
        </w:tc>
        <w:tc>
          <w:tcPr>
            <w:tcW w:type="dxa" w:w="30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center"/>
            </w:pPr>
            <w:r>
              <w:rPr>
                <w:rFonts w:ascii="Calibri" w:cs="Calibri" w:eastAsia="Calibri" w:hAnsi="Calibri"/>
                <w:color w:val="262626"/>
                <w:sz w:val="21"/>
                <w:szCs w:val="21"/>
              </w:rPr>
              <w:t xml:space="preserve">₹1,401,497</w:t>
            </w:r>
          </w:p>
        </w:tc>
      </w:tr>
      <w:tr>
        <w:tc>
          <w:tcPr>
            <w:tcW w:type="dxa" w:w="30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alibri" w:cs="Calibri" w:eastAsia="Calibri" w:hAnsi="Calibri"/>
                <w:b/>
                <w:bCs/>
                <w:color w:val="1F3864"/>
                <w:sz w:val="21"/>
                <w:szCs w:val="21"/>
              </w:rPr>
              <w:t xml:space="preserve">R² Score</w:t>
            </w:r>
          </w:p>
        </w:tc>
        <w:tc>
          <w:tcPr>
            <w:tcW w:type="dxa" w:w="3080"/>
            <w:tcBorders>
              <w:top w:val="single" w:color="D9D9D9" w:sz="2"/>
              <w:left w:val="single" w:color="D9D9D9" w:sz="2"/>
              <w:bottom w:val="single" w:color="D9D9D9" w:sz="2"/>
              <w:right w:val="single" w:color="D9D9D9" w:sz="2"/>
            </w:tcBorders>
            <w:shd w:fill="EDF7ED" w:val="clear"/>
            <w:tcMar>
              <w:top w:type="dxa" w:w="100"/>
              <w:left w:type="dxa" w:w="140"/>
              <w:bottom w:type="dxa" w:w="100"/>
              <w:right w:type="dxa" w:w="140"/>
            </w:tcMar>
            <w:vAlign w:val="center"/>
          </w:tcPr>
          <w:p>
            <w:pPr>
              <w:jc w:val="center"/>
            </w:pPr>
            <w:r>
              <w:rPr>
                <w:rFonts w:ascii="Calibri" w:cs="Calibri" w:eastAsia="Calibri" w:hAnsi="Calibri"/>
                <w:b/>
                <w:bCs/>
                <w:color w:val="2E7D32"/>
                <w:sz w:val="21"/>
                <w:szCs w:val="21"/>
              </w:rPr>
              <w:t xml:space="preserve">0.6529</w:t>
            </w:r>
          </w:p>
        </w:tc>
        <w:tc>
          <w:tcPr>
            <w:tcW w:type="dxa" w:w="30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center"/>
            </w:pPr>
            <w:r>
              <w:rPr>
                <w:rFonts w:ascii="Calibri" w:cs="Calibri" w:eastAsia="Calibri" w:hAnsi="Calibri"/>
                <w:color w:val="262626"/>
                <w:sz w:val="21"/>
                <w:szCs w:val="21"/>
              </w:rPr>
              <w:t xml:space="preserve">0.6114</w:t>
            </w:r>
          </w:p>
        </w:tc>
      </w:tr>
    </w:tbl>
    <w:p>
      <w:pPr>
        <w:spacing w:after="0" w:before="24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9D9D9" w:sz="2"/>
              <w:left w:val="single" w:color="2E7D32" w:sz="24"/>
              <w:bottom w:val="single" w:color="D9D9D9" w:sz="2"/>
              <w:right w:val="single" w:color="D9D9D9" w:sz="2"/>
            </w:tcBorders>
            <w:shd w:fill="EDF7ED" w:val="clear"/>
            <w:tcMar>
              <w:top w:type="dxa" w:w="160"/>
              <w:left w:type="dxa" w:w="220"/>
              <w:bottom w:type="dxa" w:w="160"/>
              <w:right w:type="dxa" w:w="220"/>
            </w:tcMar>
          </w:tcPr>
          <w:p>
            <w:r>
              <w:rPr>
                <w:rFonts w:ascii="Calibri" w:cs="Calibri" w:eastAsia="Calibri" w:hAnsi="Calibri"/>
                <w:b/>
                <w:bCs/>
                <w:color w:val="2E7D32"/>
                <w:sz w:val="22"/>
                <w:szCs w:val="22"/>
              </w:rPr>
              <w:t xml:space="preserve">Winner: </w:t>
            </w:r>
            <w:r>
              <w:rPr>
                <w:rFonts w:ascii="Calibri" w:cs="Calibri" w:eastAsia="Calibri" w:hAnsi="Calibri"/>
                <w:color w:val="262626"/>
                <w:sz w:val="22"/>
                <w:szCs w:val="22"/>
              </w:rPr>
              <w:t xml:space="preserve">Linear Regression — achieved the higher R² Score (0.6529), explaining more of the variance in house prices than Random Forest.</w:t>
            </w:r>
          </w:p>
        </w:tc>
      </w:tr>
    </w:tbl>
    <w:p>
      <w:pPr>
        <w:pStyle w:val="Heading1"/>
        <w:pBdr>
          <w:bottom w:val="single" w:color="2E75B6" w:sz="6" w:space="4"/>
        </w:pBdr>
        <w:spacing w:after="200" w:before="420"/>
      </w:pPr>
      <w:r>
        <w:rPr>
          <w:rFonts w:ascii="Calibri" w:cs="Calibri" w:eastAsia="Calibri" w:hAnsi="Calibri"/>
          <w:b/>
          <w:bCs/>
          <w:color w:val="2E75B6"/>
        </w:rPr>
        <w:t xml:space="preserve">5.  </w:t>
      </w:r>
      <w:r>
        <w:rPr>
          <w:rFonts w:ascii="Calibri" w:cs="Calibri" w:eastAsia="Calibri" w:hAnsi="Calibri"/>
          <w:b/>
          <w:bCs/>
        </w:rPr>
        <w:t xml:space="preserve">Key Insights</w:t>
      </w:r>
    </w:p>
    <w:p>
      <w:pPr>
        <w:pStyle w:val="Heading2"/>
        <w:spacing w:after="140" w:before="260"/>
      </w:pPr>
      <w:r>
        <w:rPr>
          <w:rFonts w:ascii="Calibri" w:cs="Calibri" w:eastAsia="Calibri" w:hAnsi="Calibri"/>
          <w:b/>
          <w:bCs/>
          <w:color w:val="1F3864"/>
        </w:rPr>
        <w:t xml:space="preserve">Top Price-Driving Features (by correlation &amp; importance)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700"/>
        <w:gridCol w:w="1640"/>
        <w:gridCol w:w="3900"/>
      </w:tblGrid>
      <w:tr>
        <w:trPr>
          <w:tblHeader/>
        </w:trPr>
        <w:tc>
          <w:tcPr>
            <w:tcW w:type="dxa" w:w="37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1"/>
                <w:szCs w:val="21"/>
              </w:rPr>
              <w:t xml:space="preserve">Feature</w:t>
            </w:r>
          </w:p>
        </w:tc>
        <w:tc>
          <w:tcPr>
            <w:tcW w:type="dxa" w:w="164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1"/>
                <w:szCs w:val="21"/>
              </w:rPr>
              <w:t xml:space="preserve">Score</w:t>
            </w:r>
          </w:p>
        </w:tc>
        <w:tc>
          <w:tcPr>
            <w:tcW w:type="dxa" w:w="39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1"/>
                <w:szCs w:val="21"/>
              </w:rPr>
              <w:t xml:space="preserve">Why it matters</w:t>
            </w:r>
          </w:p>
        </w:tc>
      </w:tr>
      <w:tr>
        <w:tc>
          <w:tcPr>
            <w:tcW w:type="dxa" w:w="3700"/>
            <w:tcBorders>
              <w:top w:val="single" w:color="D9D9D9" w:sz="2"/>
              <w:left w:val="single" w:color="D9D9D9" w:sz="2"/>
              <w:bottom w:val="single" w:color="D9D9D9" w:sz="2"/>
              <w:right w:val="single" w:color="D9D9D9" w:sz="2"/>
            </w:tcBorders>
            <w:shd w:fill="EAF1F8" w:val="clear"/>
            <w:tcMar>
              <w:top w:type="dxa" w:w="100"/>
              <w:left w:type="dxa" w:w="140"/>
              <w:bottom w:type="dxa" w:w="100"/>
              <w:right w:type="dxa" w:w="140"/>
            </w:tcMar>
            <w:vAlign w:val="center"/>
          </w:tcPr>
          <w:p>
            <w:r>
              <w:rPr>
                <w:rFonts w:ascii="Calibri" w:cs="Calibri" w:eastAsia="Calibri" w:hAnsi="Calibri"/>
                <w:b/>
                <w:bCs/>
                <w:color w:val="1F3864"/>
                <w:sz w:val="21"/>
                <w:szCs w:val="21"/>
              </w:rPr>
              <w:t xml:space="preserve">Area</w:t>
            </w:r>
          </w:p>
        </w:tc>
        <w:tc>
          <w:tcPr>
            <w:tcW w:type="dxa" w:w="1640"/>
            <w:tcBorders>
              <w:top w:val="single" w:color="D9D9D9" w:sz="2"/>
              <w:left w:val="single" w:color="D9D9D9" w:sz="2"/>
              <w:bottom w:val="single" w:color="D9D9D9" w:sz="2"/>
              <w:right w:val="single" w:color="D9D9D9" w:sz="2"/>
            </w:tcBorders>
            <w:shd w:fill="EAF1F8" w:val="clear"/>
            <w:tcMar>
              <w:top w:type="dxa" w:w="100"/>
              <w:left w:type="dxa" w:w="140"/>
              <w:bottom w:type="dxa" w:w="100"/>
              <w:right w:type="dxa" w:w="140"/>
            </w:tcMar>
            <w:vAlign w:val="center"/>
          </w:tcPr>
          <w:p>
            <w:pPr>
              <w:jc w:val="center"/>
            </w:pPr>
            <w:r>
              <w:rPr>
                <w:rFonts w:ascii="Calibri" w:cs="Calibri" w:eastAsia="Calibri" w:hAnsi="Calibri"/>
                <w:b/>
                <w:bCs/>
                <w:color w:val="2E75B6"/>
                <w:sz w:val="21"/>
                <w:szCs w:val="21"/>
              </w:rPr>
              <w:t xml:space="preserve">0.54</w:t>
            </w:r>
          </w:p>
        </w:tc>
        <w:tc>
          <w:tcPr>
            <w:tcW w:type="dxa" w:w="3900"/>
            <w:tcBorders>
              <w:top w:val="single" w:color="D9D9D9" w:sz="2"/>
              <w:left w:val="single" w:color="D9D9D9" w:sz="2"/>
              <w:bottom w:val="single" w:color="D9D9D9" w:sz="2"/>
              <w:right w:val="single" w:color="D9D9D9" w:sz="2"/>
            </w:tcBorders>
            <w:shd w:fill="EAF1F8" w:val="clear"/>
            <w:tcMar>
              <w:top w:type="dxa" w:w="100"/>
              <w:left w:type="dxa" w:w="140"/>
              <w:bottom w:type="dxa" w:w="100"/>
              <w:right w:type="dxa" w:w="140"/>
            </w:tcMar>
            <w:vAlign w:val="center"/>
          </w:tcPr>
          <w:p>
            <w:r>
              <w:rPr>
                <w:rFonts w:ascii="Calibri" w:cs="Calibri" w:eastAsia="Calibri" w:hAnsi="Calibri"/>
                <w:color w:val="262626"/>
                <w:sz w:val="20"/>
                <w:szCs w:val="20"/>
              </w:rPr>
              <w:t xml:space="preserve">The #1 factor. Larger area means significantly higher price.</w:t>
            </w:r>
          </w:p>
        </w:tc>
      </w:tr>
      <w:tr>
        <w:tc>
          <w:tcPr>
            <w:tcW w:type="dxa" w:w="37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rFonts w:ascii="Calibri" w:cs="Calibri" w:eastAsia="Calibri" w:hAnsi="Calibri"/>
                <w:b/>
                <w:bCs/>
                <w:color w:val="1F3864"/>
                <w:sz w:val="21"/>
                <w:szCs w:val="21"/>
              </w:rPr>
              <w:t xml:space="preserve">Bathrooms</w:t>
            </w:r>
          </w:p>
        </w:tc>
        <w:tc>
          <w:tcPr>
            <w:tcW w:type="dxa" w:w="164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2E75B6"/>
                <w:sz w:val="21"/>
                <w:szCs w:val="21"/>
              </w:rPr>
              <w:t xml:space="preserve">0.52</w:t>
            </w:r>
          </w:p>
        </w:tc>
        <w:tc>
          <w:tcPr>
            <w:tcW w:type="dxa" w:w="39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rFonts w:ascii="Calibri" w:cs="Calibri" w:eastAsia="Calibri" w:hAnsi="Calibri"/>
                <w:color w:val="262626"/>
                <w:sz w:val="20"/>
                <w:szCs w:val="20"/>
              </w:rPr>
              <w:t xml:space="preserve">Surprisingly more important than bedrooms.</w:t>
            </w:r>
          </w:p>
        </w:tc>
      </w:tr>
      <w:tr>
        <w:tc>
          <w:tcPr>
            <w:tcW w:type="dxa" w:w="37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rFonts w:ascii="Calibri" w:cs="Calibri" w:eastAsia="Calibri" w:hAnsi="Calibri"/>
                <w:b/>
                <w:bCs/>
                <w:color w:val="1F3864"/>
                <w:sz w:val="21"/>
                <w:szCs w:val="21"/>
              </w:rPr>
              <w:t xml:space="preserve">Air Conditioning</w:t>
            </w:r>
          </w:p>
        </w:tc>
        <w:tc>
          <w:tcPr>
            <w:tcW w:type="dxa" w:w="164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2E75B6"/>
                <w:sz w:val="21"/>
                <w:szCs w:val="21"/>
              </w:rPr>
              <w:t xml:space="preserve">0.45</w:t>
            </w:r>
          </w:p>
        </w:tc>
        <w:tc>
          <w:tcPr>
            <w:tcW w:type="dxa" w:w="39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rFonts w:ascii="Calibri" w:cs="Calibri" w:eastAsia="Calibri" w:hAnsi="Calibri"/>
                <w:color w:val="262626"/>
                <w:sz w:val="20"/>
                <w:szCs w:val="20"/>
              </w:rPr>
              <w:t xml:space="preserve">Premium amenity with a strong price impact.</w:t>
            </w:r>
          </w:p>
        </w:tc>
      </w:tr>
      <w:tr>
        <w:tc>
          <w:tcPr>
            <w:tcW w:type="dxa" w:w="37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rFonts w:ascii="Calibri" w:cs="Calibri" w:eastAsia="Calibri" w:hAnsi="Calibri"/>
                <w:b/>
                <w:bCs/>
                <w:color w:val="1F3864"/>
                <w:sz w:val="21"/>
                <w:szCs w:val="21"/>
              </w:rPr>
              <w:t xml:space="preserve">Stories</w:t>
            </w:r>
          </w:p>
        </w:tc>
        <w:tc>
          <w:tcPr>
            <w:tcW w:type="dxa" w:w="164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2E75B6"/>
                <w:sz w:val="21"/>
                <w:szCs w:val="21"/>
              </w:rPr>
              <w:t xml:space="preserve">0.42</w:t>
            </w:r>
          </w:p>
        </w:tc>
        <w:tc>
          <w:tcPr>
            <w:tcW w:type="dxa" w:w="39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rFonts w:ascii="Calibri" w:cs="Calibri" w:eastAsia="Calibri" w:hAnsi="Calibri"/>
                <w:color w:val="262626"/>
                <w:sz w:val="20"/>
                <w:szCs w:val="20"/>
              </w:rPr>
              <w:t xml:space="preserve">More floors increase value.</w:t>
            </w:r>
          </w:p>
        </w:tc>
      </w:tr>
      <w:tr>
        <w:tc>
          <w:tcPr>
            <w:tcW w:type="dxa" w:w="37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rFonts w:ascii="Calibri" w:cs="Calibri" w:eastAsia="Calibri" w:hAnsi="Calibri"/>
                <w:b/>
                <w:bCs/>
                <w:color w:val="1F3864"/>
                <w:sz w:val="21"/>
                <w:szCs w:val="21"/>
              </w:rPr>
              <w:t xml:space="preserve">Parking</w:t>
            </w:r>
          </w:p>
        </w:tc>
        <w:tc>
          <w:tcPr>
            <w:tcW w:type="dxa" w:w="164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2E75B6"/>
                <w:sz w:val="21"/>
                <w:szCs w:val="21"/>
              </w:rPr>
              <w:t xml:space="preserve">0.38</w:t>
            </w:r>
          </w:p>
        </w:tc>
        <w:tc>
          <w:tcPr>
            <w:tcW w:type="dxa" w:w="39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rFonts w:ascii="Calibri" w:cs="Calibri" w:eastAsia="Calibri" w:hAnsi="Calibri"/>
                <w:color w:val="262626"/>
                <w:sz w:val="20"/>
                <w:szCs w:val="20"/>
              </w:rPr>
              <w:t xml:space="preserve">Parking spaces are valuable assets.</w:t>
            </w:r>
          </w:p>
        </w:tc>
      </w:tr>
    </w:tbl>
    <w:p>
      <w:pPr>
        <w:pStyle w:val="Heading2"/>
        <w:spacing w:after="140" w:before="260"/>
      </w:pPr>
      <w:r>
        <w:rPr>
          <w:rFonts w:ascii="Calibri" w:cs="Calibri" w:eastAsia="Calibri" w:hAnsi="Calibri"/>
          <w:b/>
          <w:bCs/>
          <w:color w:val="1F3864"/>
        </w:rPr>
        <w:t xml:space="preserve">Surprising Findings</w:t>
      </w:r>
    </w:p>
    <w:p>
      <w:pPr>
        <w:pStyle w:val="ListParagraph"/>
        <w:numPr>
          <w:ilvl w:val="0"/>
          <w:numId w:val="2"/>
        </w:numPr>
        <w:spacing w:after="90" w:line="268"/>
      </w:pPr>
      <w:r>
        <w:rPr>
          <w:rFonts w:ascii="Calibri" w:cs="Calibri" w:eastAsia="Calibri" w:hAnsi="Calibri"/>
          <w:color w:val="262626"/>
          <w:sz w:val="22"/>
          <w:szCs w:val="22"/>
        </w:rPr>
        <w:t xml:space="preserve">Bathrooms have a higher impact than bedrooms — buyers value quality over quantity.</w:t>
      </w:r>
    </w:p>
    <w:p>
      <w:pPr>
        <w:pStyle w:val="ListParagraph"/>
        <w:numPr>
          <w:ilvl w:val="0"/>
          <w:numId w:val="2"/>
        </w:numPr>
        <w:spacing w:after="90" w:line="268"/>
      </w:pPr>
      <w:r>
        <w:rPr>
          <w:rFonts w:ascii="Calibri" w:cs="Calibri" w:eastAsia="Calibri" w:hAnsi="Calibri"/>
          <w:color w:val="262626"/>
          <w:sz w:val="22"/>
          <w:szCs w:val="22"/>
        </w:rPr>
        <w:t xml:space="preserve">Unfurnished houses sell for approximately ₹4.1 lakhs less than furnished ones.</w:t>
      </w:r>
    </w:p>
    <w:p>
      <w:pPr>
        <w:pStyle w:val="ListParagraph"/>
        <w:numPr>
          <w:ilvl w:val="0"/>
          <w:numId w:val="2"/>
        </w:numPr>
        <w:spacing w:after="90" w:line="268"/>
      </w:pPr>
      <w:r>
        <w:rPr>
          <w:rFonts w:ascii="Calibri" w:cs="Calibri" w:eastAsia="Calibri" w:hAnsi="Calibri"/>
          <w:color w:val="262626"/>
          <w:sz w:val="22"/>
          <w:szCs w:val="22"/>
        </w:rPr>
        <w:t xml:space="preserve">Hot water heating, though rare, adds approximately ₹6.8 lakhs in value when present.</w:t>
      </w:r>
    </w:p>
    <w:p>
      <w:pPr>
        <w:pStyle w:val="ListParagraph"/>
        <w:numPr>
          <w:ilvl w:val="0"/>
          <w:numId w:val="2"/>
        </w:numPr>
        <w:spacing w:after="90" w:line="268"/>
      </w:pPr>
      <w:r>
        <w:rPr>
          <w:rFonts w:ascii="Calibri" w:cs="Calibri" w:eastAsia="Calibri" w:hAnsi="Calibri"/>
          <w:color w:val="262626"/>
          <w:sz w:val="22"/>
          <w:szCs w:val="22"/>
        </w:rPr>
        <w:t xml:space="preserve">Most houses cluster in the ₹3–5 crore range (a right-skewed price distribution).</w:t>
      </w:r>
    </w:p>
    <w:p>
      <w:pPr>
        <w:pStyle w:val="Heading1"/>
        <w:pBdr>
          <w:bottom w:val="single" w:color="2E75B6" w:sz="6" w:space="4"/>
        </w:pBdr>
        <w:spacing w:after="200" w:before="420"/>
      </w:pPr>
      <w:r>
        <w:rPr>
          <w:rFonts w:ascii="Calibri" w:cs="Calibri" w:eastAsia="Calibri" w:hAnsi="Calibri"/>
          <w:b/>
          <w:bCs/>
          <w:color w:val="2E75B6"/>
        </w:rPr>
        <w:t xml:space="preserve">6.  </w:t>
      </w:r>
      <w:r>
        <w:rPr>
          <w:rFonts w:ascii="Calibri" w:cs="Calibri" w:eastAsia="Calibri" w:hAnsi="Calibri"/>
          <w:b/>
          <w:bCs/>
        </w:rPr>
        <w:t xml:space="preserve">Business Recommendation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9D9D9" w:sz="2"/>
              <w:left w:val="single" w:color="2E75B6" w:sz="24"/>
              <w:bottom w:val="single" w:color="D9D9D9" w:sz="2"/>
              <w:right w:val="single" w:color="D9D9D9" w:sz="2"/>
            </w:tcBorders>
            <w:shd w:fill="EAF1F8" w:val="clear"/>
            <w:tcMar>
              <w:top w:type="dxa" w:w="180"/>
              <w:left w:type="dxa" w:w="220"/>
              <w:bottom w:type="dxa" w:w="180"/>
              <w:right w:type="dxa" w:w="220"/>
            </w:tcMar>
          </w:tcPr>
          <w:p>
            <w:pPr>
              <w:spacing w:after="120"/>
            </w:pPr>
            <w:r>
              <w:rPr>
                <w:rFonts w:ascii="Calibri" w:cs="Calibri" w:eastAsia="Calibri" w:hAnsi="Calibri"/>
                <w:b/>
                <w:bCs/>
                <w:color w:val="1F3864"/>
                <w:sz w:val="22"/>
                <w:szCs w:val="22"/>
              </w:rPr>
              <w:t xml:space="preserve">For real estate businesses:</w:t>
            </w:r>
          </w:p>
          <w:p>
            <w:pPr>
              <w:spacing w:after="0"/>
            </w:pPr>
            <w:r>
              <w:rPr>
                <w:rFonts w:ascii="Calibri" w:cs="Calibri" w:eastAsia="Calibri" w:hAnsi="Calibri"/>
                <w:color w:val="262626"/>
                <w:sz w:val="22"/>
                <w:szCs w:val="22"/>
              </w:rPr>
              <w:t xml:space="preserve">Focus on “Area + Bathrooms + Air Conditioning” when pricing properties. Adding an extra bathroom or installing air conditioning yields higher ROI than adding bedrooms. Avoid pricing unfurnished homes at premium rates. Properties with parking and main road access should be marketed as premium listings.</w:t>
            </w:r>
          </w:p>
        </w:tc>
      </w:tr>
    </w:tbl>
    <w:p>
      <w:pPr>
        <w:pStyle w:val="Heading1"/>
        <w:pBdr>
          <w:bottom w:val="single" w:color="2E75B6" w:sz="6" w:space="4"/>
        </w:pBdr>
        <w:spacing w:after="200" w:before="420"/>
      </w:pPr>
      <w:r>
        <w:rPr>
          <w:rFonts w:ascii="Calibri" w:cs="Calibri" w:eastAsia="Calibri" w:hAnsi="Calibri"/>
          <w:b/>
          <w:bCs/>
          <w:color w:val="2E75B6"/>
        </w:rPr>
        <w:t xml:space="preserve">7.  </w:t>
      </w:r>
      <w:r>
        <w:rPr>
          <w:rFonts w:ascii="Calibri" w:cs="Calibri" w:eastAsia="Calibri" w:hAnsi="Calibri"/>
          <w:b/>
          <w:bCs/>
        </w:rPr>
        <w:t xml:space="preserve">Files Submitted</w:t>
      </w:r>
    </w:p>
    <w:p>
      <w:pPr>
        <w:spacing w:after="100"/>
        <w:ind w:left="360"/>
      </w:pPr>
      <w:r>
        <w:rPr>
          <w:rFonts w:ascii="Calibri" w:cs="Calibri" w:eastAsia="Calibri" w:hAnsi="Calibri"/>
          <w:b/>
          <w:bCs/>
          <w:color w:val="2E7D32"/>
          <w:sz w:val="22"/>
          <w:szCs w:val="22"/>
        </w:rPr>
        <w:t xml:space="preserve">✓  </w:t>
      </w:r>
      <w:r>
        <w:rPr>
          <w:rFonts w:ascii="Calibri" w:cs="Calibri" w:eastAsia="Calibri" w:hAnsi="Calibri"/>
          <w:color w:val="262626"/>
          <w:sz w:val="22"/>
          <w:szCs w:val="22"/>
        </w:rPr>
        <w:t xml:space="preserve">analysis.ipynb — Complete Jupyter Notebook with all 5 tasks</w:t>
      </w:r>
    </w:p>
    <w:p>
      <w:pPr>
        <w:spacing w:after="100"/>
        <w:ind w:left="360"/>
      </w:pPr>
      <w:r>
        <w:rPr>
          <w:rFonts w:ascii="Calibri" w:cs="Calibri" w:eastAsia="Calibri" w:hAnsi="Calibri"/>
          <w:b/>
          <w:bCs/>
          <w:color w:val="2E7D32"/>
          <w:sz w:val="22"/>
          <w:szCs w:val="22"/>
        </w:rPr>
        <w:t xml:space="preserve">✓  </w:t>
      </w:r>
      <w:r>
        <w:rPr>
          <w:rFonts w:ascii="Calibri" w:cs="Calibri" w:eastAsia="Calibri" w:hAnsi="Calibri"/>
          <w:color w:val="262626"/>
          <w:sz w:val="22"/>
          <w:szCs w:val="22"/>
        </w:rPr>
        <w:t xml:space="preserve">Housing.csv — Original dataset used</w:t>
      </w:r>
    </w:p>
    <w:p>
      <w:pPr>
        <w:spacing w:after="100"/>
        <w:ind w:left="360"/>
      </w:pPr>
      <w:r>
        <w:rPr>
          <w:rFonts w:ascii="Calibri" w:cs="Calibri" w:eastAsia="Calibri" w:hAnsi="Calibri"/>
          <w:b/>
          <w:bCs/>
          <w:color w:val="2E7D32"/>
          <w:sz w:val="22"/>
          <w:szCs w:val="22"/>
        </w:rPr>
        <w:t xml:space="preserve">✓  </w:t>
      </w:r>
      <w:r>
        <w:rPr>
          <w:rFonts w:ascii="Calibri" w:cs="Calibri" w:eastAsia="Calibri" w:hAnsi="Calibri"/>
          <w:color w:val="262626"/>
          <w:sz w:val="22"/>
          <w:szCs w:val="22"/>
        </w:rPr>
        <w:t xml:space="preserve">charts/chart1_price_distribution.png — Price histogram</w:t>
      </w:r>
    </w:p>
    <w:p>
      <w:pPr>
        <w:spacing w:after="100"/>
        <w:ind w:left="360"/>
      </w:pPr>
      <w:r>
        <w:rPr>
          <w:rFonts w:ascii="Calibri" w:cs="Calibri" w:eastAsia="Calibri" w:hAnsi="Calibri"/>
          <w:b/>
          <w:bCs/>
          <w:color w:val="2E7D32"/>
          <w:sz w:val="22"/>
          <w:szCs w:val="22"/>
        </w:rPr>
        <w:t xml:space="preserve">✓  </w:t>
      </w:r>
      <w:r>
        <w:rPr>
          <w:rFonts w:ascii="Calibri" w:cs="Calibri" w:eastAsia="Calibri" w:hAnsi="Calibri"/>
          <w:color w:val="262626"/>
          <w:sz w:val="22"/>
          <w:szCs w:val="22"/>
        </w:rPr>
        <w:t xml:space="preserve">charts/chart2_correlation_heatmap.png — Feature correlation heatmap</w:t>
      </w:r>
    </w:p>
    <w:p>
      <w:pPr>
        <w:spacing w:after="100"/>
        <w:ind w:left="360"/>
      </w:pPr>
      <w:r>
        <w:rPr>
          <w:rFonts w:ascii="Calibri" w:cs="Calibri" w:eastAsia="Calibri" w:hAnsi="Calibri"/>
          <w:b/>
          <w:bCs/>
          <w:color w:val="2E7D32"/>
          <w:sz w:val="22"/>
          <w:szCs w:val="22"/>
        </w:rPr>
        <w:t xml:space="preserve">✓  </w:t>
      </w:r>
      <w:r>
        <w:rPr>
          <w:rFonts w:ascii="Calibri" w:cs="Calibri" w:eastAsia="Calibri" w:hAnsi="Calibri"/>
          <w:color w:val="262626"/>
          <w:sz w:val="22"/>
          <w:szCs w:val="22"/>
        </w:rPr>
        <w:t xml:space="preserve">charts/chart3_actual_vs_predicted.png — Actual vs Predicted scatter plot</w:t>
      </w:r>
    </w:p>
    <w:p>
      <w:pPr>
        <w:spacing w:after="100"/>
        <w:ind w:left="360"/>
      </w:pPr>
      <w:r>
        <w:rPr>
          <w:rFonts w:ascii="Calibri" w:cs="Calibri" w:eastAsia="Calibri" w:hAnsi="Calibri"/>
          <w:b/>
          <w:bCs/>
          <w:color w:val="2E7D32"/>
          <w:sz w:val="22"/>
          <w:szCs w:val="22"/>
        </w:rPr>
        <w:t xml:space="preserve">✓  </w:t>
      </w:r>
      <w:r>
        <w:rPr>
          <w:rFonts w:ascii="Calibri" w:cs="Calibri" w:eastAsia="Calibri" w:hAnsi="Calibri"/>
          <w:color w:val="262626"/>
          <w:sz w:val="22"/>
          <w:szCs w:val="22"/>
        </w:rPr>
        <w:t xml:space="preserve">charts/chart4_feature_importance.png — Random Forest feature importance</w:t>
      </w:r>
    </w:p>
    <w:p>
      <w:pPr>
        <w:spacing w:after="100"/>
        <w:ind w:left="360"/>
      </w:pPr>
      <w:r>
        <w:rPr>
          <w:rFonts w:ascii="Calibri" w:cs="Calibri" w:eastAsia="Calibri" w:hAnsi="Calibri"/>
          <w:b/>
          <w:bCs/>
          <w:color w:val="2E7D32"/>
          <w:sz w:val="22"/>
          <w:szCs w:val="22"/>
        </w:rPr>
        <w:t xml:space="preserve">✓  </w:t>
      </w:r>
      <w:r>
        <w:rPr>
          <w:rFonts w:ascii="Calibri" w:cs="Calibri" w:eastAsia="Calibri" w:hAnsi="Calibri"/>
          <w:color w:val="262626"/>
          <w:sz w:val="22"/>
          <w:szCs w:val="22"/>
        </w:rPr>
        <w:t xml:space="preserve">summary.txt — This summary document</w:t>
      </w:r>
    </w:p>
    <w:p>
      <w:pPr>
        <w:pBdr>
          <w:top w:val="single" w:color="D9D9D9" w:sz="6" w:space="8"/>
        </w:pBdr>
        <w:spacing w:before="280"/>
        <w:jc w:val="center"/>
      </w:pPr>
      <w:r>
        <w:rPr>
          <w:rFonts w:ascii="Calibri" w:cs="Calibri" w:eastAsia="Calibri" w:hAnsi="Calibri"/>
          <w:i/>
          <w:iCs/>
          <w:color w:val="595959"/>
          <w:sz w:val="18"/>
          <w:szCs w:val="18"/>
        </w:rPr>
        <w:t xml:space="preserve">End of Report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Calibri" w:cs="Calibri" w:eastAsia="Calibri" w:hAnsi="Calibri"/>
        <w:color w:val="595959"/>
        <w:sz w:val="16"/>
        <w:szCs w:val="16"/>
      </w:rPr>
      <w:t xml:space="preserve">House Price Prediction — Summary Report</w:t>
    </w:r>
    <w:r>
      <w:rPr>
        <w:rFonts w:ascii="Calibri" w:cs="Calibri" w:eastAsia="Calibri" w:hAnsi="Calibri"/>
        <w:color w:val="595959"/>
        <w:sz w:val="16"/>
        <w:szCs w:val="16"/>
      </w:rPr>
      <w:t xml:space="preserve">	Tirth Shah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27"/>
      <w:szCs w:val="27"/>
    </w:rPr>
  </w:style>
  <w:style w:type="paragraph" w:styleId="Heading2">
    <w:name w:val="Heading 2"/>
    <w:basedOn w:val="Normal"/>
    <w:next w:val="Normal"/>
    <w:qFormat/>
    <w:pPr>
      <w:spacing w:after="120" w:before="220"/>
      <w:outlineLvl w:val="1"/>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2026-06-19T17:18:42.372Z</dcterms:created>
  <dcterms:modified xsi:type="dcterms:W3CDTF">2026-06-19T17:18:42.373Z</dcterms:modified>
</cp:coreProperties>
</file>

<file path=docProps/custom.xml><?xml version="1.0" encoding="utf-8"?>
<Properties xmlns="http://schemas.openxmlformats.org/officeDocument/2006/custom-properties" xmlns:vt="http://schemas.openxmlformats.org/officeDocument/2006/docPropsVTypes"/>
</file>