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EMPLOYEE ATTRITION PREDICTION REPORT</w:t>
      </w:r>
    </w:p>
    <w:p>
      <w:pPr>
        <w:jc w:val="center"/>
      </w:pPr>
      <w:r>
        <w:rPr>
          <w:i/>
          <w:color w:val="2E86AB"/>
          <w:sz w:val="24"/>
        </w:rPr>
        <w:t>Executive Summary for HR Director</w:t>
      </w:r>
    </w:p>
    <w:p/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EXECUTIVE SUMMARY</w:t>
      </w:r>
    </w:p>
    <w:p>
      <w:pPr>
        <w:spacing w:after="240"/>
      </w:pPr>
      <w:r>
        <w:t>We analyzed 1,470 employee records using Machine Learning to build a system that predicts who is likely to leave the company before they actually quit. Our model now identifies at-risk employees with 80% accuracy, giving HR time to intervene early and reduce costly turnover.</w:t>
      </w:r>
    </w:p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KEY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pPr>
              <w:jc w:val="center"/>
            </w:pPr>
            <w:r>
              <w:rPr>
                <w:b/>
                <w:color w:val="FFFFFF"/>
              </w:rPr>
              <w:t>Overall Attrition Rate</w:t>
            </w:r>
          </w:p>
        </w:tc>
        <w:tc>
          <w:tcPr>
            <w:tcW w:type="dxa" w:w="2880"/>
            <w:shd w:fill="2E86AB"/>
          </w:tcPr>
          <w:p>
            <w:pPr>
              <w:jc w:val="center"/>
            </w:pPr>
            <w:r>
              <w:rPr>
                <w:b/>
                <w:color w:val="FFFFFF"/>
              </w:rPr>
              <w:t>Employees at Risk</w:t>
            </w:r>
          </w:p>
        </w:tc>
        <w:tc>
          <w:tcPr>
            <w:tcW w:type="dxa" w:w="2880"/>
            <w:shd w:fill="2E86AB"/>
          </w:tcPr>
          <w:p>
            <w:pPr>
              <w:jc w:val="center"/>
            </w:pPr>
            <w:r>
              <w:rPr>
                <w:b/>
                <w:color w:val="FFFFFF"/>
              </w:rPr>
              <w:t>Model Accuracy</w:t>
            </w:r>
          </w:p>
        </w:tc>
      </w:tr>
      <w:tr>
        <w:tc>
          <w:tcPr>
            <w:tcW w:type="dxa" w:w="2880"/>
            <w:shd w:fill="E8F4F8"/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16.1%</w:t>
            </w:r>
          </w:p>
        </w:tc>
        <w:tc>
          <w:tcPr>
            <w:tcW w:type="dxa" w:w="2880"/>
            <w:shd w:fill="E8F4F8"/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416 employees</w:t>
            </w:r>
          </w:p>
        </w:tc>
        <w:tc>
          <w:tcPr>
            <w:tcW w:type="dxa" w:w="2880"/>
            <w:shd w:fill="E8F4F8"/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80.4%</w:t>
            </w:r>
          </w:p>
        </w:tc>
      </w:tr>
    </w:tbl>
    <w:p/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THE 3 BIGGEST WARNING SIGNS</w:t>
      </w:r>
    </w:p>
    <w:p>
      <w:pPr>
        <w:spacing w:before="160"/>
      </w:pPr>
      <w:r>
        <w:rPr>
          <w:b/>
          <w:color w:val="C0392B"/>
        </w:rPr>
        <w:t xml:space="preserve">1. OVERTIME: </w:t>
      </w:r>
      <w:r>
        <w:t>Employees working overtime are 3× more likely to quit. 30.5% of overtime workers leave versus only 10.4% of others. This is the #1 red flag in our data.</w:t>
      </w:r>
    </w:p>
    <w:p>
      <w:pPr>
        <w:spacing w:before="160"/>
      </w:pPr>
      <w:r>
        <w:rPr>
          <w:b/>
          <w:color w:val="C0392B"/>
        </w:rPr>
        <w:t xml:space="preserve">2. FREQUENT BUSINESS TRAVEL: </w:t>
      </w:r>
      <w:r>
        <w:t>Constant travel burns people out. Travel disrupts work-life balance and family time, making these employees show up as high-risk in our model.</w:t>
      </w:r>
    </w:p>
    <w:p>
      <w:pPr>
        <w:spacing w:before="160"/>
      </w:pPr>
      <w:r>
        <w:rPr>
          <w:b/>
          <w:color w:val="C0392B"/>
        </w:rPr>
        <w:t xml:space="preserve">3. ENTRY-LEVEL ROLES: </w:t>
      </w:r>
      <w:r>
        <w:t>Lab Technicians (31.2% leave) and Sales Representatives (39.9% leave — worst in the company!) lack clear career growth paths and competitive pay.</w:t>
      </w:r>
    </w:p>
    <w:p/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DEPARTMENTS TO WORRY ABOUT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4C3C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fill="E74C3C"/>
          </w:tcPr>
          <w:p>
            <w:pPr>
              <w:jc w:val="center"/>
            </w:pPr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2880"/>
            <w:shd w:fill="E74C3C"/>
          </w:tcPr>
          <w:p>
            <w:pPr>
              <w:jc w:val="center"/>
            </w:pPr>
            <w:r>
              <w:rPr>
                <w:b/>
                <w:color w:val="FFFFFF"/>
              </w:rPr>
              <w:t>Attrition Rate</w:t>
            </w:r>
          </w:p>
        </w:tc>
      </w:tr>
      <w:tr>
        <w:tc>
          <w:tcPr>
            <w:tcW w:type="dxa" w:w="2880"/>
            <w:shd w:fill="FADBD8"/>
          </w:tcPr>
          <w:p>
            <w:pPr>
              <w:jc w:val="center"/>
            </w:pPr>
            <w:r>
              <w:t>🔴 CRITICAL</w:t>
            </w:r>
          </w:p>
        </w:tc>
        <w:tc>
          <w:tcPr>
            <w:tcW w:type="dxa" w:w="2880"/>
            <w:shd w:fill="FADBD8"/>
          </w:tcPr>
          <w:p>
            <w:pPr>
              <w:jc w:val="center"/>
            </w:pPr>
            <w:r>
              <w:t>Sales</w:t>
            </w:r>
          </w:p>
        </w:tc>
        <w:tc>
          <w:tcPr>
            <w:tcW w:type="dxa" w:w="2880"/>
            <w:shd w:fill="FADBD8"/>
          </w:tcPr>
          <w:p>
            <w:pPr>
              <w:jc w:val="center"/>
            </w:pPr>
            <w:r>
              <w:t>20.6% — Sales Reps at 39.9%</w:t>
            </w:r>
          </w:p>
        </w:tc>
      </w:tr>
      <w:tr>
        <w:tc>
          <w:tcPr>
            <w:tcW w:type="dxa" w:w="2880"/>
            <w:shd w:fill="FCE5CD"/>
          </w:tcPr>
          <w:p>
            <w:pPr>
              <w:jc w:val="center"/>
            </w:pPr>
            <w:r>
              <w:t>🟠 HIGH</w:t>
            </w:r>
          </w:p>
        </w:tc>
        <w:tc>
          <w:tcPr>
            <w:tcW w:type="dxa" w:w="2880"/>
            <w:shd w:fill="FCE5CD"/>
          </w:tcPr>
          <w:p>
            <w:pPr>
              <w:jc w:val="center"/>
            </w:pPr>
            <w:r>
              <w:t>Human Resources</w:t>
            </w:r>
          </w:p>
        </w:tc>
        <w:tc>
          <w:tcPr>
            <w:tcW w:type="dxa" w:w="2880"/>
            <w:shd w:fill="FCE5CD"/>
          </w:tcPr>
          <w:p>
            <w:pPr>
              <w:jc w:val="center"/>
            </w:pPr>
            <w:r>
              <w:t>19.0% — even HR staff are leaving</w:t>
            </w:r>
          </w:p>
        </w:tc>
      </w:tr>
      <w:tr>
        <w:tc>
          <w:tcPr>
            <w:tcW w:type="dxa" w:w="2880"/>
            <w:shd w:fill="FCF3CF"/>
          </w:tcPr>
          <w:p>
            <w:pPr>
              <w:jc w:val="center"/>
            </w:pPr>
            <w:r>
              <w:t>🟡 MODERATE</w:t>
            </w:r>
          </w:p>
        </w:tc>
        <w:tc>
          <w:tcPr>
            <w:tcW w:type="dxa" w:w="2880"/>
            <w:shd w:fill="FCF3CF"/>
          </w:tcPr>
          <w:p>
            <w:pPr>
              <w:jc w:val="center"/>
            </w:pPr>
            <w:r>
              <w:t>R&amp;D</w:t>
            </w:r>
          </w:p>
        </w:tc>
        <w:tc>
          <w:tcPr>
            <w:tcW w:type="dxa" w:w="2880"/>
            <w:shd w:fill="FCF3CF"/>
          </w:tcPr>
          <w:p>
            <w:pPr>
              <w:jc w:val="center"/>
            </w:pPr>
            <w:r>
              <w:t>13.8% — but Lab Technicians at 31.2%</w:t>
            </w:r>
          </w:p>
        </w:tc>
      </w:tr>
    </w:tbl>
    <w:p/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SALARY IS NOT THE WHOLE STORY</w:t>
      </w:r>
    </w:p>
    <w:p>
      <w:r>
        <w:t xml:space="preserve">Yes, people who left earned about $4,780 less per month on average. </w:t>
      </w:r>
      <w:r>
        <w:rPr>
          <w:b/>
        </w:rPr>
        <w:t>But money is not the strongest predictor.</w:t>
      </w:r>
      <w:r>
        <w:t xml:space="preserve"> HOW people work — overtime, travel demands, and role type — matters MORE than raw pay. This means simply throwing money at the problem will not fix it. We need to fix working conditions first, then adjust compensation for at-risk roles.</w:t>
      </w:r>
    </w:p>
    <w:p/>
    <w:p>
      <w:pPr>
        <w:pBdr>
          <w:bottom w:val="single" w:sz="6" w:space="1" w:color="2E86AB"/>
        </w:pBdr>
      </w:pPr>
      <w:r>
        <w:rPr>
          <w:b/>
          <w:color w:val="27AE60"/>
          <w:sz w:val="26"/>
        </w:rPr>
        <w:t>WHAT WE RECOMMEND DOING NOW</w:t>
      </w:r>
    </w:p>
    <w:p>
      <w:pPr>
        <w:spacing w:before="200"/>
      </w:pPr>
      <w:r>
        <w:rPr>
          <w:b/>
          <w:color w:val="27AE60"/>
          <w:sz w:val="24"/>
        </w:rPr>
        <w:t>RECOMMENDATION 1: CAP OVERTIME IMMEDIATELY</w:t>
      </w:r>
    </w:p>
    <w:p>
      <w:r>
        <w:rPr>
          <w:b/>
        </w:rPr>
        <w:t xml:space="preserve">Action: </w:t>
      </w:r>
      <w:r>
        <w:t>Audit all 416 employees currently working overtime (28% of workforce). Set a hard limit of 10 overtime hours per week without Director-level approval.</w:t>
        <w:br/>
      </w:r>
      <w:r>
        <w:rPr>
          <w:b/>
        </w:rPr>
        <w:t xml:space="preserve">Expected Impact: </w:t>
      </w:r>
      <w:r>
        <w:t>Save 60+ employees per year at almost zero implementation cost.</w:t>
        <w:br/>
      </w:r>
      <w:r>
        <w:rPr>
          <w:b/>
        </w:rPr>
        <w:t xml:space="preserve">ROI: </w:t>
      </w:r>
      <w:r>
        <w:t>Replacement cost per employee is 50–200% of annual salary. This policy pays for itself in the first month.</w:t>
      </w:r>
    </w:p>
    <w:p>
      <w:pPr>
        <w:spacing w:before="200"/>
      </w:pPr>
      <w:r>
        <w:rPr>
          <w:b/>
          <w:color w:val="27AE60"/>
          <w:sz w:val="24"/>
        </w:rPr>
        <w:t>RECOMMENDATION 2: BUILD CAREER PATHS FOR AT-RISK ROLES</w:t>
      </w:r>
    </w:p>
    <w:p>
      <w:r>
        <w:rPr>
          <w:b/>
        </w:rPr>
        <w:t xml:space="preserve">Action: </w:t>
      </w:r>
      <w:r>
        <w:t>Launch a 12-month development program for Lab Technicians and Sales Representatives. Include monthly 1-on-1 coaching, clear promotion timelines to Senior roles, and a $2,000 annual skills training budget per participant.</w:t>
        <w:br/>
      </w:r>
      <w:r>
        <w:rPr>
          <w:b/>
        </w:rPr>
        <w:t xml:space="preserve">Expected Impact: </w:t>
      </w:r>
      <w:r>
        <w:t>Cut attrition in these roles from 35% to 15%, saving approximately 50 employees annually.</w:t>
        <w:br/>
      </w:r>
      <w:r>
        <w:rPr>
          <w:b/>
        </w:rPr>
        <w:t xml:space="preserve">Investment: </w:t>
      </w:r>
      <w:r>
        <w:t xml:space="preserve">~$1.2M annually | </w:t>
      </w:r>
      <w:r>
        <w:rPr>
          <w:b/>
        </w:rPr>
        <w:t xml:space="preserve">Return: </w:t>
      </w:r>
      <w:r>
        <w:t>Save $3–5M in replacement and retraining costs.</w:t>
      </w:r>
    </w:p>
    <w:p/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HOW THE PREDICTION SYSTEM WORKS</w:t>
      </w:r>
    </w:p>
    <w:p>
      <w:r>
        <w:t xml:space="preserve">We built a mathematical model that learns from past employees who left. It looks at 30+ factors — age, income, overtime, travel frequency, job role, satisfaction scores — and assigns each employee a </w:t>
      </w:r>
      <w:r>
        <w:rPr>
          <w:i/>
        </w:rPr>
        <w:t>risk score</w:t>
      </w:r>
      <w:r>
        <w:t xml:space="preserve"> from 0 to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6D7E"/>
          </w:tcPr>
          <w:p>
            <w:pPr>
              <w:jc w:val="center"/>
            </w:pP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2880"/>
            <w:shd w:fill="5D6D7E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5D6D7E"/>
          </w:tcPr>
          <w:p>
            <w:pPr>
              <w:jc w:val="center"/>
            </w:pPr>
            <w:r>
              <w:rPr>
                <w:b/>
                <w:color w:val="FFFFFF"/>
              </w:rPr>
              <w:t>HR Action</w:t>
            </w:r>
          </w:p>
        </w:tc>
      </w:tr>
      <w:tr>
        <w:tc>
          <w:tcPr>
            <w:tcW w:type="dxa" w:w="2880"/>
            <w:shd w:fill="F5B7B1"/>
          </w:tcPr>
          <w:p>
            <w:pPr>
              <w:jc w:val="center"/>
            </w:pPr>
            <w:r>
              <w:t>Above 0.50</w:t>
            </w:r>
          </w:p>
        </w:tc>
        <w:tc>
          <w:tcPr>
            <w:tcW w:type="dxa" w:w="2880"/>
            <w:shd w:fill="F5B7B1"/>
          </w:tcPr>
          <w:p>
            <w:pPr>
              <w:jc w:val="center"/>
            </w:pPr>
            <w:r>
              <w:t>HIGH RISK</w:t>
            </w:r>
          </w:p>
        </w:tc>
        <w:tc>
          <w:tcPr>
            <w:tcW w:type="dxa" w:w="2880"/>
            <w:shd w:fill="F5B7B1"/>
          </w:tcPr>
          <w:p>
            <w:pPr>
              <w:jc w:val="center"/>
            </w:pPr>
            <w:r>
              <w:t>Schedule retention conversation within 2 weeks</w:t>
            </w:r>
          </w:p>
        </w:tc>
      </w:tr>
      <w:tr>
        <w:tc>
          <w:tcPr>
            <w:tcW w:type="dxa" w:w="2880"/>
            <w:shd w:fill="F9E79F"/>
          </w:tcPr>
          <w:p>
            <w:pPr>
              <w:jc w:val="center"/>
            </w:pPr>
            <w:r>
              <w:t>0.30 – 0.50</w:t>
            </w:r>
          </w:p>
        </w:tc>
        <w:tc>
          <w:tcPr>
            <w:tcW w:type="dxa" w:w="2880"/>
            <w:shd w:fill="F9E79F"/>
          </w:tcPr>
          <w:p>
            <w:pPr>
              <w:jc w:val="center"/>
            </w:pPr>
            <w:r>
              <w:t>MEDIUM RISK</w:t>
            </w:r>
          </w:p>
        </w:tc>
        <w:tc>
          <w:tcPr>
            <w:tcW w:type="dxa" w:w="2880"/>
            <w:shd w:fill="F9E79F"/>
          </w:tcPr>
          <w:p>
            <w:pPr>
              <w:jc w:val="center"/>
            </w:pPr>
            <w:r>
              <w:t>Monitor monthly, check satisfaction pulse</w:t>
            </w:r>
          </w:p>
        </w:tc>
      </w:tr>
      <w:tr>
        <w:tc>
          <w:tcPr>
            <w:tcW w:type="dxa" w:w="2880"/>
            <w:shd w:fill="ABEBC6"/>
          </w:tcPr>
          <w:p>
            <w:pPr>
              <w:jc w:val="center"/>
            </w:pPr>
            <w:r>
              <w:t>Below 0.30</w:t>
            </w:r>
          </w:p>
        </w:tc>
        <w:tc>
          <w:tcPr>
            <w:tcW w:type="dxa" w:w="2880"/>
            <w:shd w:fill="ABEBC6"/>
          </w:tcPr>
          <w:p>
            <w:pPr>
              <w:jc w:val="center"/>
            </w:pPr>
            <w:r>
              <w:t>LOW RISK</w:t>
            </w:r>
          </w:p>
        </w:tc>
        <w:tc>
          <w:tcPr>
            <w:tcW w:type="dxa" w:w="2880"/>
            <w:shd w:fill="ABEBC6"/>
          </w:tcPr>
          <w:p>
            <w:pPr>
              <w:jc w:val="center"/>
            </w:pPr>
            <w:r>
              <w:t>Standard annual review cycle</w:t>
            </w:r>
          </w:p>
        </w:tc>
      </w:tr>
    </w:tbl>
    <w:p/>
    <w:p>
      <w:pPr>
        <w:pBdr>
          <w:bottom w:val="single" w:sz="6" w:space="1" w:color="2E86AB"/>
        </w:pBdr>
      </w:pPr>
      <w:r>
        <w:rPr>
          <w:b/>
          <w:color w:val="E74C3C"/>
          <w:sz w:val="26"/>
        </w:rPr>
        <w:t>IMPORTANT CAVEATS</w:t>
      </w:r>
    </w:p>
    <w:p>
      <w:pPr>
        <w:pStyle w:val="ListBullet"/>
      </w:pPr>
      <w:r>
        <w:t>This model is a snapshot in time. Gradual changes in satisfaction or sudden life events are not captured. Re-score employees quarterly, not once.</w:t>
      </w:r>
    </w:p>
    <w:p>
      <w:pPr>
        <w:pStyle w:val="ListBullet"/>
      </w:pPr>
      <w:r>
        <w:t>The model identifies patterns, not causes. "Single" status correlates with attrition, but marriage does not prevent leaving — it reflects age and life stage.</w:t>
      </w:r>
    </w:p>
    <w:p>
      <w:pPr>
        <w:pStyle w:val="ListBullet"/>
      </w:pPr>
      <w:r>
        <w:t>The data comes from one company profile. Patterns may differ in different industries, cultures, or countries. Validate with your own historical data first.</w:t>
      </w:r>
    </w:p>
    <w:p>
      <w:pPr>
        <w:pStyle w:val="ListBullet"/>
      </w:pPr>
      <w:r>
        <w:t>With only 16% attrition, the model is better at identifying "stayers" than "leavers." It will miss some employees who actually leave. Treat predictions as risk flags, not certainties.</w:t>
      </w:r>
    </w:p>
    <w:p>
      <w:pPr>
        <w:pStyle w:val="ListBullet"/>
      </w:pPr>
      <w:r>
        <w:t>Manager quality, team dynamics, and personal circumstances matter too — but the model cannot see these. Always pair scores with human judgment and manager interviews.</w:t>
      </w:r>
    </w:p>
    <w:p/>
    <w:p>
      <w:pPr>
        <w:pBdr>
          <w:bottom w:val="single" w:sz="6" w:space="1" w:color="2E86AB"/>
        </w:pBdr>
      </w:pPr>
      <w:r>
        <w:rPr>
          <w:b/>
          <w:color w:val="27AE60"/>
          <w:sz w:val="26"/>
        </w:rPr>
        <w:t>NEXT STEPS</w:t>
      </w:r>
    </w:p>
    <w:p>
      <w:pPr>
        <w:spacing w:before="120"/>
      </w:pPr>
      <w:r>
        <w:rPr>
          <w:b/>
          <w:color w:val="27AE60"/>
        </w:rPr>
        <w:t xml:space="preserve">THIS WEEK: </w:t>
      </w:r>
      <w:r>
        <w:t>Review the 50 highest-risk employees currently on payroll.</w:t>
      </w:r>
    </w:p>
    <w:p>
      <w:pPr>
        <w:spacing w:before="120"/>
      </w:pPr>
      <w:r>
        <w:rPr>
          <w:b/>
          <w:color w:val="27AE60"/>
        </w:rPr>
        <w:t xml:space="preserve">THIS MONTH: </w:t>
      </w:r>
      <w:r>
        <w:t>Implement overtime audit and cap policy across all departments.</w:t>
      </w:r>
    </w:p>
    <w:p>
      <w:pPr>
        <w:spacing w:before="120"/>
      </w:pPr>
      <w:r>
        <w:rPr>
          <w:b/>
          <w:color w:val="27AE60"/>
        </w:rPr>
        <w:t xml:space="preserve">NEXT QUARTER: </w:t>
      </w:r>
      <w:r>
        <w:t>Launch pilot career acceleration program for 50 at-risk Lab Technicians and Sales Reps.</w:t>
      </w:r>
    </w:p>
    <w:p>
      <w:pPr>
        <w:spacing w:before="120"/>
      </w:pPr>
      <w:r>
        <w:rPr>
          <w:b/>
          <w:color w:val="27AE60"/>
        </w:rPr>
        <w:t xml:space="preserve">ONGOING: </w:t>
      </w:r>
      <w:r>
        <w:t>Re-score all employees quarterly and track intervention success rates.</w:t>
      </w:r>
    </w:p>
    <w:p/>
    <w:p>
      <w:pPr>
        <w:jc w:val="center"/>
        <w:pBdr>
          <w:bottom w:val="single" w:sz="6" w:space="1" w:color="2E86AB"/>
        </w:pBdr>
      </w:pPr>
    </w:p>
    <w:p>
      <w:pPr>
        <w:jc w:val="center"/>
      </w:pPr>
      <w:r>
        <w:rPr>
          <w:i/>
          <w:color w:val="7F8C8D"/>
          <w:sz w:val="18"/>
        </w:rPr>
        <w:t>Report prepared by Data Science Team  |  June 28, 2026  |  Dataset: 1,470 IBM HR Analytics Employee Records  |  Best Model: Logistic Regression (80.4% ROC-AUC)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