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1F3864" w:sz="16" w:space="12"/>
        </w:pBdr>
        <w:spacing w:after="300"/>
        <w:jc w:val="center"/>
      </w:pPr>
      <w:r>
        <w:rPr>
          <w:rFonts w:ascii="Calibri" w:cs="Calibri" w:eastAsia="Calibri" w:hAnsi="Calibri"/>
          <w:b/>
          <w:bCs/>
          <w:color w:val="1F3864"/>
          <w:spacing w:val="20"/>
          <w:sz w:val="26"/>
          <w:szCs w:val="26"/>
        </w:rPr>
        <w:t xml:space="preserve">PROJECT SPECIFICATION</w:t>
      </w:r>
    </w:p>
    <w:p>
      <w:pPr>
        <w:spacing w:after="60"/>
        <w:jc w:val="center"/>
      </w:pPr>
      <w:r>
        <w:rPr>
          <w:rFonts w:ascii="Calibri" w:cs="Calibri" w:eastAsia="Calibri" w:hAnsi="Calibri"/>
          <w:b/>
          <w:bCs/>
          <w:color w:val="1A1A1A"/>
          <w:sz w:val="56"/>
          <w:szCs w:val="56"/>
        </w:rPr>
        <w:t xml:space="preserve">Natural Language to SQL</w:t>
      </w:r>
    </w:p>
    <w:p>
      <w:pPr>
        <w:spacing w:after="240"/>
        <w:jc w:val="center"/>
      </w:pPr>
      <w:r>
        <w:rPr>
          <w:rFonts w:ascii="Calibri" w:cs="Calibri" w:eastAsia="Calibri" w:hAnsi="Calibri"/>
          <w:b/>
          <w:bCs/>
          <w:color w:val="1A1A1A"/>
          <w:sz w:val="56"/>
          <w:szCs w:val="56"/>
        </w:rPr>
        <w:t xml:space="preserve">Query Assistant</w:t>
      </w:r>
    </w:p>
    <w:p>
      <w:pPr>
        <w:spacing w:after="900"/>
        <w:jc w:val="center"/>
      </w:pPr>
      <w:r>
        <w:rPr>
          <w:rFonts w:ascii="Calibri" w:cs="Calibri" w:eastAsia="Calibri" w:hAnsi="Calibri"/>
          <w:i/>
          <w:iCs/>
          <w:color w:val="444444"/>
          <w:sz w:val="24"/>
          <w:szCs w:val="24"/>
        </w:rPr>
        <w:t xml:space="preserve">An on-premises, open-source AI use case for conversational data access</w:t>
      </w:r>
    </w:p>
    <w:p>
      <w:pPr>
        <w:spacing w:after="80"/>
        <w:jc w:val="center"/>
      </w:pPr>
      <w:r>
        <w:rPr>
          <w:rFonts w:ascii="Calibri" w:cs="Calibri" w:eastAsia="Calibri" w:hAnsi="Calibri"/>
          <w:color w:val="1A1A1A"/>
          <w:sz w:val="22"/>
          <w:szCs w:val="22"/>
        </w:rPr>
        <w:t xml:space="preserve">Version 1.1</w:t>
      </w:r>
    </w:p>
    <w:p>
      <w:pPr>
        <w:spacing w:after="80"/>
        <w:jc w:val="center"/>
      </w:pPr>
      <w:r>
        <w:rPr>
          <w:rFonts w:ascii="Calibri" w:cs="Calibri" w:eastAsia="Calibri" w:hAnsi="Calibri"/>
          <w:color w:val="1A1A1A"/>
          <w:sz w:val="22"/>
          <w:szCs w:val="22"/>
        </w:rPr>
        <w:t xml:space="preserve">July 2026</w:t>
      </w:r>
    </w:p>
    <w:p>
      <w:pPr>
        <w:spacing w:after="80"/>
        <w:jc w:val="center"/>
      </w:pPr>
      <w:r>
        <w:rPr>
          <w:rFonts w:ascii="Calibri" w:cs="Calibri" w:eastAsia="Calibri" w:hAnsi="Calibri"/>
          <w:color w:val="444444"/>
          <w:sz w:val="22"/>
          <w:szCs w:val="22"/>
        </w:rPr>
        <w:t xml:space="preserve">Prepared for internal review</w:t>
      </w:r>
    </w:p>
    <w:p>
      <w:pPr>
        <w:sectPr>
          <w:pgSz w:w="12240" w:h="15840" w:orient="portrait"/>
          <w:pgMar w:top="1440" w:right="1440" w:bottom="1440" w:left="1440" w:header="708" w:footer="708" w:gutter="0"/>
          <w:pgNumType/>
          <w:docGrid w:linePitch="360"/>
        </w:sectPr>
      </w:pPr>
    </w:p>
    <w:p>
      <w:pPr>
        <w:pStyle w:val="Heading1"/>
        <w:pBdr>
          <w:bottom w:val="single" w:color="1F3864" w:sz="8" w:space="4"/>
        </w:pBdr>
        <w:spacing w:after="200" w:before="360"/>
      </w:pPr>
      <w:r>
        <w:rPr>
          <w:rFonts w:ascii="Calibri" w:cs="Calibri" w:eastAsia="Calibri" w:hAnsi="Calibri"/>
          <w:b/>
          <w:bCs/>
          <w:color w:val="1F3864"/>
          <w:sz w:val="30"/>
          <w:szCs w:val="30"/>
        </w:rPr>
        <w:t xml:space="preserve">Table of Contents</w:t>
      </w:r>
    </w:p>
    <w:p>
      <w:pPr>
        <w:tabs>
          <w:tab w:val="right" w:pos="9026" w:leader="dot"/>
        </w:tabs>
        <w:spacing w:after="160"/>
      </w:pPr>
      <w:r>
        <w:rPr>
          <w:rFonts w:ascii="Calibri" w:cs="Calibri" w:eastAsia="Calibri" w:hAnsi="Calibri"/>
          <w:color w:val="222222"/>
          <w:sz w:val="22"/>
          <w:szCs w:val="22"/>
        </w:rPr>
        <w:t xml:space="preserve">1. Executive Summary</w:t>
      </w:r>
      <w:r>
        <w:rPr>
          <w:rFonts w:ascii="Calibri" w:cs="Calibri" w:eastAsia="Calibri" w:hAnsi="Calibri"/>
          <w:color w:val="222222"/>
          <w:sz w:val="22"/>
          <w:szCs w:val="22"/>
        </w:rPr>
        <w:t xml:space="preserve">	3</w:t>
      </w:r>
    </w:p>
    <w:p>
      <w:pPr>
        <w:tabs>
          <w:tab w:val="right" w:pos="9026" w:leader="dot"/>
        </w:tabs>
        <w:spacing w:after="160"/>
      </w:pPr>
      <w:r>
        <w:rPr>
          <w:rFonts w:ascii="Calibri" w:cs="Calibri" w:eastAsia="Calibri" w:hAnsi="Calibri"/>
          <w:color w:val="222222"/>
          <w:sz w:val="22"/>
          <w:szCs w:val="22"/>
        </w:rPr>
        <w:t xml:space="preserve">2. Objectives</w:t>
      </w:r>
      <w:r>
        <w:rPr>
          <w:rFonts w:ascii="Calibri" w:cs="Calibri" w:eastAsia="Calibri" w:hAnsi="Calibri"/>
          <w:color w:val="222222"/>
          <w:sz w:val="22"/>
          <w:szCs w:val="22"/>
        </w:rPr>
        <w:t xml:space="preserve">	4</w:t>
      </w:r>
    </w:p>
    <w:p>
      <w:pPr>
        <w:tabs>
          <w:tab w:val="right" w:pos="9026" w:leader="dot"/>
        </w:tabs>
        <w:spacing w:after="160"/>
      </w:pPr>
      <w:r>
        <w:rPr>
          <w:rFonts w:ascii="Calibri" w:cs="Calibri" w:eastAsia="Calibri" w:hAnsi="Calibri"/>
          <w:color w:val="222222"/>
          <w:sz w:val="22"/>
          <w:szCs w:val="22"/>
        </w:rPr>
        <w:t xml:space="preserve">3. Use Case Description</w:t>
      </w:r>
      <w:r>
        <w:rPr>
          <w:rFonts w:ascii="Calibri" w:cs="Calibri" w:eastAsia="Calibri" w:hAnsi="Calibri"/>
          <w:color w:val="222222"/>
          <w:sz w:val="22"/>
          <w:szCs w:val="22"/>
        </w:rPr>
        <w:t xml:space="preserve">	4</w:t>
      </w:r>
    </w:p>
    <w:p>
      <w:pPr>
        <w:tabs>
          <w:tab w:val="right" w:pos="9026" w:leader="dot"/>
        </w:tabs>
        <w:spacing w:after="160"/>
      </w:pPr>
      <w:r>
        <w:rPr>
          <w:rFonts w:ascii="Calibri" w:cs="Calibri" w:eastAsia="Calibri" w:hAnsi="Calibri"/>
          <w:color w:val="222222"/>
          <w:sz w:val="22"/>
          <w:szCs w:val="22"/>
        </w:rPr>
        <w:t xml:space="preserve">4. User Workflow Example</w:t>
      </w:r>
      <w:r>
        <w:rPr>
          <w:rFonts w:ascii="Calibri" w:cs="Calibri" w:eastAsia="Calibri" w:hAnsi="Calibri"/>
          <w:color w:val="222222"/>
          <w:sz w:val="22"/>
          <w:szCs w:val="22"/>
        </w:rPr>
        <w:t xml:space="preserve">	5</w:t>
      </w:r>
    </w:p>
    <w:p>
      <w:pPr>
        <w:tabs>
          <w:tab w:val="right" w:pos="9026" w:leader="dot"/>
        </w:tabs>
        <w:spacing w:after="160"/>
      </w:pPr>
      <w:r>
        <w:rPr>
          <w:rFonts w:ascii="Calibri" w:cs="Calibri" w:eastAsia="Calibri" w:hAnsi="Calibri"/>
          <w:color w:val="222222"/>
          <w:sz w:val="22"/>
          <w:szCs w:val="22"/>
        </w:rPr>
        <w:t xml:space="preserve">5. System Architecture</w:t>
      </w:r>
      <w:r>
        <w:rPr>
          <w:rFonts w:ascii="Calibri" w:cs="Calibri" w:eastAsia="Calibri" w:hAnsi="Calibri"/>
          <w:color w:val="222222"/>
          <w:sz w:val="22"/>
          <w:szCs w:val="22"/>
        </w:rPr>
        <w:t xml:space="preserve">	6</w:t>
      </w:r>
    </w:p>
    <w:p>
      <w:pPr>
        <w:tabs>
          <w:tab w:val="right" w:pos="9026" w:leader="dot"/>
        </w:tabs>
        <w:spacing w:after="160"/>
      </w:pPr>
      <w:r>
        <w:rPr>
          <w:rFonts w:ascii="Calibri" w:cs="Calibri" w:eastAsia="Calibri" w:hAnsi="Calibri"/>
          <w:color w:val="222222"/>
          <w:sz w:val="22"/>
          <w:szCs w:val="22"/>
        </w:rPr>
        <w:t xml:space="preserve">6. Technology Stack</w:t>
      </w:r>
      <w:r>
        <w:rPr>
          <w:rFonts w:ascii="Calibri" w:cs="Calibri" w:eastAsia="Calibri" w:hAnsi="Calibri"/>
          <w:color w:val="222222"/>
          <w:sz w:val="22"/>
          <w:szCs w:val="22"/>
        </w:rPr>
        <w:t xml:space="preserve">	7</w:t>
      </w:r>
    </w:p>
    <w:p>
      <w:pPr>
        <w:tabs>
          <w:tab w:val="right" w:pos="9026" w:leader="dot"/>
        </w:tabs>
        <w:spacing w:after="160"/>
      </w:pPr>
      <w:r>
        <w:rPr>
          <w:rFonts w:ascii="Calibri" w:cs="Calibri" w:eastAsia="Calibri" w:hAnsi="Calibri"/>
          <w:color w:val="222222"/>
          <w:sz w:val="22"/>
          <w:szCs w:val="22"/>
        </w:rPr>
        <w:t xml:space="preserve">7. Feature Set</w:t>
      </w:r>
      <w:r>
        <w:rPr>
          <w:rFonts w:ascii="Calibri" w:cs="Calibri" w:eastAsia="Calibri" w:hAnsi="Calibri"/>
          <w:color w:val="222222"/>
          <w:sz w:val="22"/>
          <w:szCs w:val="22"/>
        </w:rPr>
        <w:t xml:space="preserve">	7</w:t>
      </w:r>
    </w:p>
    <w:p>
      <w:pPr>
        <w:tabs>
          <w:tab w:val="right" w:pos="9026" w:leader="dot"/>
        </w:tabs>
        <w:spacing w:after="160"/>
      </w:pPr>
      <w:r>
        <w:rPr>
          <w:rFonts w:ascii="Calibri" w:cs="Calibri" w:eastAsia="Calibri" w:hAnsi="Calibri"/>
          <w:color w:val="222222"/>
          <w:sz w:val="22"/>
          <w:szCs w:val="22"/>
        </w:rPr>
        <w:t xml:space="preserve">8. Requirements</w:t>
      </w:r>
      <w:r>
        <w:rPr>
          <w:rFonts w:ascii="Calibri" w:cs="Calibri" w:eastAsia="Calibri" w:hAnsi="Calibri"/>
          <w:color w:val="222222"/>
          <w:sz w:val="22"/>
          <w:szCs w:val="22"/>
        </w:rPr>
        <w:t xml:space="preserve">	8</w:t>
      </w:r>
    </w:p>
    <w:p>
      <w:pPr>
        <w:tabs>
          <w:tab w:val="right" w:pos="9026" w:leader="dot"/>
        </w:tabs>
        <w:spacing w:after="160"/>
      </w:pPr>
      <w:r>
        <w:rPr>
          <w:rFonts w:ascii="Calibri" w:cs="Calibri" w:eastAsia="Calibri" w:hAnsi="Calibri"/>
          <w:color w:val="222222"/>
          <w:sz w:val="22"/>
          <w:szCs w:val="22"/>
        </w:rPr>
        <w:t xml:space="preserve">9. Security &amp; Governance</w:t>
      </w:r>
      <w:r>
        <w:rPr>
          <w:rFonts w:ascii="Calibri" w:cs="Calibri" w:eastAsia="Calibri" w:hAnsi="Calibri"/>
          <w:color w:val="222222"/>
          <w:sz w:val="22"/>
          <w:szCs w:val="22"/>
        </w:rPr>
        <w:t xml:space="preserve">	9</w:t>
      </w:r>
    </w:p>
    <w:p>
      <w:pPr>
        <w:tabs>
          <w:tab w:val="right" w:pos="9026" w:leader="dot"/>
        </w:tabs>
        <w:spacing w:after="160"/>
      </w:pPr>
      <w:r>
        <w:rPr>
          <w:rFonts w:ascii="Calibri" w:cs="Calibri" w:eastAsia="Calibri" w:hAnsi="Calibri"/>
          <w:color w:val="222222"/>
          <w:sz w:val="22"/>
          <w:szCs w:val="22"/>
        </w:rPr>
        <w:t xml:space="preserve">10. Project Timeline</w:t>
      </w:r>
      <w:r>
        <w:rPr>
          <w:rFonts w:ascii="Calibri" w:cs="Calibri" w:eastAsia="Calibri" w:hAnsi="Calibri"/>
          <w:color w:val="222222"/>
          <w:sz w:val="22"/>
          <w:szCs w:val="22"/>
        </w:rPr>
        <w:t xml:space="preserve">	9</w:t>
      </w:r>
    </w:p>
    <w:p>
      <w:pPr>
        <w:tabs>
          <w:tab w:val="right" w:pos="9026" w:leader="dot"/>
        </w:tabs>
        <w:spacing w:after="160"/>
      </w:pPr>
      <w:r>
        <w:rPr>
          <w:rFonts w:ascii="Calibri" w:cs="Calibri" w:eastAsia="Calibri" w:hAnsi="Calibri"/>
          <w:color w:val="222222"/>
          <w:sz w:val="22"/>
          <w:szCs w:val="22"/>
        </w:rPr>
        <w:t xml:space="preserve">11. Success Metrics</w:t>
      </w:r>
      <w:r>
        <w:rPr>
          <w:rFonts w:ascii="Calibri" w:cs="Calibri" w:eastAsia="Calibri" w:hAnsi="Calibri"/>
          <w:color w:val="222222"/>
          <w:sz w:val="22"/>
          <w:szCs w:val="22"/>
        </w:rPr>
        <w:t xml:space="preserve">	10</w:t>
      </w:r>
    </w:p>
    <w:p>
      <w:pPr>
        <w:tabs>
          <w:tab w:val="right" w:pos="9026" w:leader="dot"/>
        </w:tabs>
        <w:spacing w:after="160"/>
      </w:pPr>
      <w:r>
        <w:rPr>
          <w:rFonts w:ascii="Calibri" w:cs="Calibri" w:eastAsia="Calibri" w:hAnsi="Calibri"/>
          <w:color w:val="222222"/>
          <w:sz w:val="22"/>
          <w:szCs w:val="22"/>
        </w:rPr>
        <w:t xml:space="preserve">12. Key Terms &amp; Glossary</w:t>
      </w:r>
      <w:r>
        <w:rPr>
          <w:rFonts w:ascii="Calibri" w:cs="Calibri" w:eastAsia="Calibri" w:hAnsi="Calibri"/>
          <w:color w:val="222222"/>
          <w:sz w:val="22"/>
          <w:szCs w:val="22"/>
        </w:rPr>
        <w:t xml:space="preserve">	11</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F3864" w:sz="8" w:space="4"/>
        </w:pBdr>
        <w:spacing w:after="200" w:before="36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i w:val="false"/>
          <w:iCs w:val="false"/>
          <w:color w:val="222222"/>
          <w:sz w:val="21"/>
          <w:szCs w:val="21"/>
        </w:rPr>
        <w:t xml:space="preserve">This document specifies a Natural Language to SQL Query Assistant: an enterprise-ready internal tool that empowers non-technical staff to query company data using plain English, eliminating the need for manual SQL coding. The assistant uses an open-source large language model (LLM) to translate natural language questions into precise SQL queries, executes them against the database, and returns both the results and the generated SQL to ensure complete transparency.</w:t>
      </w:r>
    </w:p>
    <w:p>
      <w:pPr>
        <w:spacing w:after="160" w:line="276"/>
      </w:pPr>
      <w:r>
        <w:rPr>
          <w:rFonts w:ascii="Calibri" w:cs="Calibri" w:eastAsia="Calibri" w:hAnsi="Calibri"/>
          <w:i w:val="false"/>
          <w:iCs w:val="false"/>
          <w:color w:val="222222"/>
          <w:sz w:val="21"/>
          <w:szCs w:val="21"/>
        </w:rPr>
        <w:t xml:space="preserve">The solution is architected entirely on open-source components and designed for secure, on-premises deployment, ensuring that all data, queries, and model inference remain within the organization's network. Beyond its primary function, the tool incorporates advanced features, including AI-driven data visualization, role-based access control (RBAC) via a custom JWT authentication system, and administrative CRUD operational capabilities.</w:t>
      </w:r>
    </w:p>
    <w:p>
      <w:pPr>
        <w:spacing w:after="160" w:line="276"/>
      </w:pPr>
      <w:r>
        <w:rPr>
          <w:rFonts w:ascii="Calibri" w:cs="Calibri" w:eastAsia="Calibri" w:hAnsi="Calibri"/>
          <w:i w:val="false"/>
          <w:iCs w:val="false"/>
          <w:color w:val="222222"/>
          <w:sz w:val="21"/>
          <w:szCs w:val="21"/>
        </w:rPr>
        <w:t xml:space="preserve">This project serves as a scalable demonstration of the organization's broader open-source AI capability, acting as a foundational architecture for future initiatives such as the OpenTranslate AI project. It is designed for rapid delivery, balancing high-impact engineering — a robust backend, live database, and polished frontend — with an efficient development timeline.</w:t>
      </w:r>
    </w:p>
    <w:p>
      <w:pPr>
        <w:pStyle w:val="Heading2"/>
        <w:spacing w:after="140" w:before="260"/>
      </w:pPr>
      <w:r>
        <w:rPr>
          <w:rFonts w:ascii="Calibri" w:cs="Calibri" w:eastAsia="Calibri" w:hAnsi="Calibri"/>
          <w:b/>
          <w:bCs/>
          <w:color w:val="2E5395"/>
          <w:sz w:val="24"/>
          <w:szCs w:val="24"/>
        </w:rPr>
        <w:t xml:space="preserve">Why This Use Case</w:t>
      </w:r>
    </w:p>
    <w:p>
      <w:pPr>
        <w:spacing w:after="160" w:line="276"/>
      </w:pPr>
      <w:r>
        <w:rPr>
          <w:rFonts w:ascii="Calibri" w:cs="Calibri" w:eastAsia="Calibri" w:hAnsi="Calibri"/>
          <w:i w:val="false"/>
          <w:iCs w:val="false"/>
          <w:color w:val="222222"/>
          <w:sz w:val="21"/>
          <w:szCs w:val="21"/>
        </w:rPr>
        <w:t xml:space="preserve">This use case was selected because it offers an accelerated way to showcase both high-level LLM capability and robust, full-stack engineering. It provides a comprehensive, working architecture — a secure backend, a live database, and a polished frontend — that demonstrates technical proficiency in a tangible way. The project is also strategically scoped for rapid development and demonstration within a constrained timeframe, making it an ideal candidate for highlighting the organization's broader open-source AI capabilities.</w:t>
      </w:r>
    </w:p>
    <w:p>
      <w:pPr>
        <w:pStyle w:val="Heading1"/>
        <w:pBdr>
          <w:bottom w:val="single" w:color="1F3864" w:sz="8" w:space="4"/>
        </w:pBdr>
        <w:spacing w:after="200" w:before="360"/>
      </w:pPr>
      <w:r>
        <w:rPr>
          <w:rFonts w:ascii="Calibri" w:cs="Calibri" w:eastAsia="Calibri" w:hAnsi="Calibri"/>
          <w:b/>
          <w:bCs/>
          <w:color w:val="1F3864"/>
          <w:sz w:val="30"/>
          <w:szCs w:val="30"/>
        </w:rPr>
        <w:t xml:space="preserve">2. Objectives</w:t>
      </w:r>
    </w:p>
    <w:p>
      <w:pPr>
        <w:pStyle w:val="ListParagraph"/>
        <w:numPr>
          <w:ilvl w:val="0"/>
          <w:numId w:val="2"/>
        </w:numPr>
        <w:spacing w:after="90" w:line="276"/>
      </w:pPr>
      <w:r>
        <w:rPr>
          <w:rFonts w:ascii="Calibri" w:cs="Calibri" w:eastAsia="Calibri" w:hAnsi="Calibri"/>
          <w:sz w:val="21"/>
          <w:szCs w:val="21"/>
        </w:rPr>
        <w:t xml:space="preserve">Reduce the time non-technical stakeholders spend waiting on ad-hoc SQL requests from engineering or analytics teams.</w:t>
      </w:r>
    </w:p>
    <w:p>
      <w:pPr>
        <w:pStyle w:val="ListParagraph"/>
        <w:numPr>
          <w:ilvl w:val="0"/>
          <w:numId w:val="2"/>
        </w:numPr>
        <w:spacing w:after="90" w:line="276"/>
      </w:pPr>
      <w:r>
        <w:rPr>
          <w:rFonts w:ascii="Calibri" w:cs="Calibri" w:eastAsia="Calibri" w:hAnsi="Calibri"/>
          <w:sz w:val="21"/>
          <w:szCs w:val="21"/>
        </w:rPr>
        <w:t xml:space="preserve">Implement a robust, production-style pattern for applying open-source LLMs to internal data access, featuring advanced visualization and administrative management.</w:t>
      </w:r>
    </w:p>
    <w:p>
      <w:pPr>
        <w:pStyle w:val="ListParagraph"/>
        <w:numPr>
          <w:ilvl w:val="0"/>
          <w:numId w:val="2"/>
        </w:numPr>
        <w:spacing w:after="90" w:line="276"/>
      </w:pPr>
      <w:r>
        <w:rPr>
          <w:rFonts w:ascii="Calibri" w:cs="Calibri" w:eastAsia="Calibri" w:hAnsi="Calibri"/>
          <w:sz w:val="21"/>
          <w:szCs w:val="21"/>
        </w:rPr>
        <w:t xml:space="preserve">Keep all data, queries, and model inference on-premises, ensuring strictly isolated and compliant operations.</w:t>
      </w:r>
    </w:p>
    <w:p>
      <w:pPr>
        <w:pStyle w:val="ListParagraph"/>
        <w:numPr>
          <w:ilvl w:val="0"/>
          <w:numId w:val="2"/>
        </w:numPr>
        <w:spacing w:after="90" w:line="276"/>
      </w:pPr>
      <w:r>
        <w:rPr>
          <w:rFonts w:ascii="Calibri" w:cs="Calibri" w:eastAsia="Calibri" w:hAnsi="Calibri"/>
          <w:sz w:val="21"/>
          <w:szCs w:val="21"/>
        </w:rPr>
        <w:t xml:space="preserve">Build a reusable, modular architecture (model serving, backend, custom JWT-based authentication, and caching) that serves as a foundational platform for future internal AI initiatives, such as OpenTranslate AI.</w:t>
      </w:r>
    </w:p>
    <w:p>
      <w:pPr>
        <w:pStyle w:val="ListParagraph"/>
        <w:numPr>
          <w:ilvl w:val="0"/>
          <w:numId w:val="2"/>
        </w:numPr>
        <w:spacing w:after="90" w:line="276"/>
      </w:pPr>
      <w:r>
        <w:rPr>
          <w:rFonts w:ascii="Calibri" w:cs="Calibri" w:eastAsia="Calibri" w:hAnsi="Calibri"/>
          <w:sz w:val="21"/>
          <w:szCs w:val="21"/>
        </w:rPr>
        <w:t xml:space="preserve">Enable administrative users to securely perform CRUD operations (INSERT, UPDATE, DELETE) via natural language while maintaining a complete audit trail for governance.</w:t>
      </w:r>
    </w:p>
    <w:p>
      <w:pPr>
        <w:pStyle w:val="Heading1"/>
        <w:pBdr>
          <w:bottom w:val="single" w:color="1F3864" w:sz="8" w:space="4"/>
        </w:pBdr>
        <w:spacing w:after="200" w:before="360"/>
      </w:pPr>
      <w:r>
        <w:rPr>
          <w:rFonts w:ascii="Calibri" w:cs="Calibri" w:eastAsia="Calibri" w:hAnsi="Calibri"/>
          <w:b/>
          <w:bCs/>
          <w:color w:val="1F3864"/>
          <w:sz w:val="30"/>
          <w:szCs w:val="30"/>
        </w:rPr>
        <w:t xml:space="preserve">3. Use Case Description</w:t>
      </w:r>
    </w:p>
    <w:p>
      <w:pPr>
        <w:spacing w:after="160" w:line="276"/>
      </w:pPr>
      <w:r>
        <w:rPr>
          <w:rFonts w:ascii="Calibri" w:cs="Calibri" w:eastAsia="Calibri" w:hAnsi="Calibri"/>
          <w:i w:val="false"/>
          <w:iCs w:val="false"/>
          <w:color w:val="222222"/>
          <w:sz w:val="21"/>
          <w:szCs w:val="21"/>
        </w:rPr>
        <w:t xml:space="preserve">A user opens the assistant and types a question such as "Top 5 customers by revenue" or "Which orders were placed last month?" The system:</w:t>
      </w:r>
    </w:p>
    <w:p>
      <w:pPr>
        <w:pStyle w:val="ListParagraph"/>
        <w:numPr>
          <w:ilvl w:val="0"/>
          <w:numId w:val="2"/>
        </w:numPr>
        <w:spacing w:after="90" w:line="276"/>
      </w:pPr>
      <w:r>
        <w:rPr>
          <w:rFonts w:ascii="Calibri" w:cs="Calibri" w:eastAsia="Calibri" w:hAnsi="Calibri"/>
          <w:sz w:val="21"/>
          <w:szCs w:val="21"/>
        </w:rPr>
        <w:t xml:space="preserve">Interprets the question using the live database schema as context.</w:t>
      </w:r>
    </w:p>
    <w:p>
      <w:pPr>
        <w:pStyle w:val="ListParagraph"/>
        <w:numPr>
          <w:ilvl w:val="0"/>
          <w:numId w:val="2"/>
        </w:numPr>
        <w:spacing w:after="90" w:line="276"/>
      </w:pPr>
      <w:r>
        <w:rPr>
          <w:rFonts w:ascii="Calibri" w:cs="Calibri" w:eastAsia="Calibri" w:hAnsi="Calibri"/>
          <w:sz w:val="21"/>
          <w:szCs w:val="21"/>
        </w:rPr>
        <w:t xml:space="preserve">Generates a corresponding SQL query using an open-source language model.</w:t>
      </w:r>
    </w:p>
    <w:p>
      <w:pPr>
        <w:pStyle w:val="ListParagraph"/>
        <w:numPr>
          <w:ilvl w:val="0"/>
          <w:numId w:val="2"/>
        </w:numPr>
        <w:spacing w:after="90" w:line="276"/>
      </w:pPr>
      <w:r>
        <w:rPr>
          <w:rFonts w:ascii="Calibri" w:cs="Calibri" w:eastAsia="Calibri" w:hAnsi="Calibri"/>
          <w:sz w:val="21"/>
          <w:szCs w:val="21"/>
        </w:rPr>
        <w:t xml:space="preserve">Validates the query for security: standard users are restricted to read-only SELECT statements, while authenticated administrators may perform INSERT, UPDATE, and DELETE operations via natural language.</w:t>
      </w:r>
    </w:p>
    <w:p>
      <w:pPr>
        <w:pStyle w:val="ListParagraph"/>
        <w:numPr>
          <w:ilvl w:val="0"/>
          <w:numId w:val="2"/>
        </w:numPr>
        <w:spacing w:after="90" w:line="276"/>
      </w:pPr>
      <w:r>
        <w:rPr>
          <w:rFonts w:ascii="Calibri" w:cs="Calibri" w:eastAsia="Calibri" w:hAnsi="Calibri"/>
          <w:sz w:val="21"/>
          <w:szCs w:val="21"/>
        </w:rPr>
        <w:t xml:space="preserve">Enforces safety guardrails, including automatic row limits, to prevent unbounded result sets.</w:t>
      </w:r>
    </w:p>
    <w:p>
      <w:pPr>
        <w:pStyle w:val="ListParagraph"/>
        <w:numPr>
          <w:ilvl w:val="0"/>
          <w:numId w:val="2"/>
        </w:numPr>
        <w:spacing w:after="90" w:line="276"/>
      </w:pPr>
      <w:r>
        <w:rPr>
          <w:rFonts w:ascii="Calibri" w:cs="Calibri" w:eastAsia="Calibri" w:hAnsi="Calibri"/>
          <w:sz w:val="21"/>
          <w:szCs w:val="21"/>
        </w:rPr>
        <w:t xml:space="preserve">Executes the query against the target database.</w:t>
      </w:r>
    </w:p>
    <w:p>
      <w:pPr>
        <w:pStyle w:val="ListParagraph"/>
        <w:numPr>
          <w:ilvl w:val="0"/>
          <w:numId w:val="2"/>
        </w:numPr>
        <w:spacing w:after="90" w:line="276"/>
      </w:pPr>
      <w:r>
        <w:rPr>
          <w:rFonts w:ascii="Calibri" w:cs="Calibri" w:eastAsia="Calibri" w:hAnsi="Calibri"/>
          <w:sz w:val="21"/>
          <w:szCs w:val="21"/>
        </w:rPr>
        <w:t xml:space="preserve">Returns the results in a structured table, accompanied by AI-generated insights and auto-generated charts for enhanced visual clarity, with the raw SQL displayed for full transparency and trust.</w:t>
      </w:r>
    </w:p>
    <w:p>
      <w:pPr>
        <w:spacing w:after="160" w:line="276"/>
      </w:pPr>
      <w:r>
        <w:rPr>
          <w:rFonts w:ascii="Calibri" w:cs="Calibri" w:eastAsia="Calibri" w:hAnsi="Calibri"/>
          <w:i w:val="false"/>
          <w:iCs w:val="false"/>
          <w:color w:val="222222"/>
          <w:sz w:val="21"/>
          <w:szCs w:val="21"/>
        </w:rPr>
        <w:t xml:space="preserve">This interaction pattern scales to support follow-up conversational questions, multilingual input (Hindi, Telugu, Tamil, French), and granular, role-based data access control via the custom JWT-based authentication system.</w:t>
      </w:r>
    </w:p>
    <w:p>
      <w:pPr>
        <w:pStyle w:val="Heading1"/>
        <w:pBdr>
          <w:bottom w:val="single" w:color="1F3864" w:sz="8" w:space="4"/>
        </w:pBdr>
        <w:spacing w:after="200" w:before="360"/>
      </w:pPr>
      <w:r>
        <w:rPr>
          <w:rFonts w:ascii="Calibri" w:cs="Calibri" w:eastAsia="Calibri" w:hAnsi="Calibri"/>
          <w:b/>
          <w:bCs/>
          <w:color w:val="1F3864"/>
          <w:sz w:val="30"/>
          <w:szCs w:val="30"/>
        </w:rPr>
        <w:t xml:space="preserve">4. User Workflow Example</w:t>
      </w:r>
    </w:p>
    <w:p>
      <w:pPr>
        <w:spacing w:after="160" w:line="276"/>
      </w:pPr>
      <w:r>
        <w:rPr>
          <w:rFonts w:ascii="Calibri" w:cs="Calibri" w:eastAsia="Calibri" w:hAnsi="Calibri"/>
          <w:i w:val="false"/>
          <w:iCs w:val="false"/>
          <w:color w:val="222222"/>
          <w:sz w:val="21"/>
          <w:szCs w:val="21"/>
        </w:rPr>
        <w:t xml:space="preserve">The steps below walk through a single interaction end to end, from the moment a user types a question to the moment they see results.</w:t>
      </w:r>
    </w:p>
    <w:p>
      <w:pPr>
        <w:pStyle w:val="Heading2"/>
        <w:spacing w:after="140" w:before="260"/>
      </w:pPr>
      <w:r>
        <w:rPr>
          <w:rFonts w:ascii="Calibri" w:cs="Calibri" w:eastAsia="Calibri" w:hAnsi="Calibri"/>
          <w:b/>
          <w:bCs/>
          <w:color w:val="2E5395"/>
          <w:sz w:val="24"/>
          <w:szCs w:val="24"/>
        </w:rPr>
        <w:t xml:space="preserve">Worked Example</w:t>
      </w:r>
    </w:p>
    <w:p>
      <w:pPr>
        <w:spacing w:after="160" w:line="276"/>
      </w:pPr>
      <w:r>
        <w:rPr>
          <w:rFonts w:ascii="Calibri" w:cs="Calibri" w:eastAsia="Calibri" w:hAnsi="Calibri"/>
          <w:i w:val="false"/>
          <w:iCs w:val="false"/>
          <w:color w:val="222222"/>
          <w:sz w:val="21"/>
          <w:szCs w:val="21"/>
        </w:rPr>
        <w:t xml:space="preserve">Scenario: a sales operations manager wants to know which customers to prioritize for renewal outreach this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7862"/>
      </w:tblGrid>
      <w:tr>
        <w:trPr>
          <w:tblHeader/>
        </w:trPr>
        <w:tc>
          <w:tcPr>
            <w:tcW w:type="dxa" w:w="1498"/>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Step</w:t>
            </w:r>
          </w:p>
        </w:tc>
        <w:tc>
          <w:tcPr>
            <w:tcW w:type="dxa" w:w="7862"/>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Happens</w:t>
            </w:r>
          </w:p>
        </w:tc>
      </w:tr>
      <w:tr>
        <w:tc>
          <w:tcPr>
            <w:tcW w:type="dxa" w:w="1498"/>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1. Ask</w:t>
            </w:r>
          </w:p>
        </w:tc>
        <w:tc>
          <w:tcPr>
            <w:tcW w:type="dxa" w:w="786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user types a question in plain English (e.g., "Show me the top 5 customers by revenue"). No SQL knowledge is required.</w:t>
            </w:r>
          </w:p>
        </w:tc>
      </w:tr>
      <w:tr>
        <w:tc>
          <w:tcPr>
            <w:tcW w:type="dxa" w:w="1498"/>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2. Interpret</w:t>
            </w:r>
          </w:p>
        </w:tc>
        <w:tc>
          <w:tcPr>
            <w:tcW w:type="dxa" w:w="786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backend transmits the question and live database schema to the LLM, which drafts the corresponding SQL query.</w:t>
            </w:r>
          </w:p>
        </w:tc>
      </w:tr>
      <w:tr>
        <w:tc>
          <w:tcPr>
            <w:tcW w:type="dxa" w:w="1498"/>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3. Validate</w:t>
            </w:r>
          </w:p>
        </w:tc>
        <w:tc>
          <w:tcPr>
            <w:tcW w:type="dxa" w:w="786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guardrail layer validates the query against user roles; standard users are restricted to SELECT, while admins may perform INSERT, UPDATE, or DELETE. Row limits are automatically enforced.</w:t>
            </w:r>
          </w:p>
        </w:tc>
      </w:tr>
      <w:tr>
        <w:tc>
          <w:tcPr>
            <w:tcW w:type="dxa" w:w="1498"/>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4. Execute</w:t>
            </w:r>
          </w:p>
        </w:tc>
        <w:tc>
          <w:tcPr>
            <w:tcW w:type="dxa" w:w="786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validated query is executed against the database, with results returned within the NFR-2 target response window.</w:t>
            </w:r>
          </w:p>
        </w:tc>
      </w:tr>
      <w:tr>
        <w:tc>
          <w:tcPr>
            <w:tcW w:type="dxa" w:w="1498"/>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5. Review</w:t>
            </w:r>
          </w:p>
        </w:tc>
        <w:tc>
          <w:tcPr>
            <w:tcW w:type="dxa" w:w="786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frontend displays the results in a table, supplemented by AI-generated insights and auto-generated charts. The raw SQL is provided alongside for transparency.</w:t>
            </w:r>
          </w:p>
        </w:tc>
      </w:tr>
    </w:tbl>
    <w:p>
      <w:pPr>
        <w:spacing w:after="100" w:before="240"/>
      </w:pPr>
      <w:r>
        <w:rPr>
          <w:rFonts w:ascii="Calibri" w:cs="Calibri" w:eastAsia="Calibri" w:hAnsi="Calibri"/>
          <w:i/>
          <w:iCs/>
          <w:color w:val="444444"/>
          <w:sz w:val="20"/>
          <w:szCs w:val="20"/>
        </w:rPr>
        <w:t xml:space="preserve">Generated SQL for this example:</w:t>
      </w:r>
    </w:p>
    <w:p>
      <w:pPr>
        <w:pBdr>
          <w:top w:val="single" w:color="B7C6DE" w:sz="4"/>
          <w:bottom w:val="single" w:color="B7C6DE" w:sz="4"/>
          <w:left w:val="single" w:color="B7C6DE" w:sz="4"/>
          <w:right w:val="single" w:color="B7C6DE" w:sz="4"/>
        </w:pBdr>
        <w:shd w:fill="F2F2F2" w:val="clear"/>
        <w:spacing w:after="240"/>
      </w:pPr>
      <w:r>
        <w:rPr>
          <w:rFonts w:ascii="Consolas" w:cs="Consolas" w:eastAsia="Consolas" w:hAnsi="Consolas"/>
          <w:color w:val="1A1A1A"/>
          <w:sz w:val="19"/>
          <w:szCs w:val="19"/>
        </w:rPr>
        <w:t xml:space="preserve">SELECT c.name, SUM(oi.quantity * p.price) AS revenue
FROM customers c
JOIN orders o ON o.customer_id = c.id
JOIN order_items oi ON oi.order_id = o.id
JOIN products p ON p.id = oi.product_id
GROUP BY c.name
ORDER BY revenue DESC
LIMIT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Customer</w:t>
            </w:r>
          </w:p>
        </w:tc>
        <w:tc>
          <w:tcPr>
            <w:tcW w:type="dxa" w:w="3744"/>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Revenue</w:t>
            </w:r>
          </w:p>
        </w:tc>
      </w:tr>
      <w:tr>
        <w:tc>
          <w:tcPr>
            <w:tcW w:type="dxa" w:w="561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Fatima Khan</w:t>
            </w:r>
          </w:p>
        </w:tc>
        <w:tc>
          <w:tcPr>
            <w:tcW w:type="dxa" w:w="374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48,220</w:t>
            </w:r>
          </w:p>
        </w:tc>
      </w:tr>
      <w:tr>
        <w:tc>
          <w:tcPr>
            <w:tcW w:type="dxa" w:w="5616"/>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Priya Nair</w:t>
            </w:r>
          </w:p>
        </w:tc>
        <w:tc>
          <w:tcPr>
            <w:tcW w:type="dxa" w:w="374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41,860</w:t>
            </w:r>
          </w:p>
        </w:tc>
      </w:tr>
      <w:tr>
        <w:tc>
          <w:tcPr>
            <w:tcW w:type="dxa" w:w="561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Lucas Martin</w:t>
            </w:r>
          </w:p>
        </w:tc>
        <w:tc>
          <w:tcPr>
            <w:tcW w:type="dxa" w:w="374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37,510</w:t>
            </w:r>
          </w:p>
        </w:tc>
      </w:tr>
      <w:tr>
        <w:tc>
          <w:tcPr>
            <w:tcW w:type="dxa" w:w="5616"/>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Wei Zhang</w:t>
            </w:r>
          </w:p>
        </w:tc>
        <w:tc>
          <w:tcPr>
            <w:tcW w:type="dxa" w:w="374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29,940</w:t>
            </w:r>
          </w:p>
        </w:tc>
      </w:tr>
      <w:tr>
        <w:tc>
          <w:tcPr>
            <w:tcW w:type="dxa" w:w="561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Arjun Rao</w:t>
            </w:r>
          </w:p>
        </w:tc>
        <w:tc>
          <w:tcPr>
            <w:tcW w:type="dxa" w:w="374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22,115</w:t>
            </w:r>
          </w:p>
        </w:tc>
      </w:tr>
    </w:tbl>
    <w:p>
      <w:pPr>
        <w:spacing w:after="240" w:before="100"/>
      </w:pPr>
      <w:r>
        <w:rPr>
          <w:rFonts w:ascii="Calibri" w:cs="Calibri" w:eastAsia="Calibri" w:hAnsi="Calibri"/>
          <w:i/>
          <w:iCs/>
          <w:color w:val="444444"/>
          <w:sz w:val="18"/>
          <w:szCs w:val="18"/>
        </w:rPr>
        <w:t xml:space="preserve">The manager now has a ranked list to act on, without filing a request to the data team or writing a single line of SQL.</w:t>
      </w:r>
    </w:p>
    <w:p>
      <w:pPr>
        <w:pStyle w:val="Heading1"/>
        <w:pBdr>
          <w:bottom w:val="single" w:color="1F3864" w:sz="8" w:space="4"/>
        </w:pBdr>
        <w:spacing w:after="200" w:before="360"/>
      </w:pPr>
      <w:r>
        <w:rPr>
          <w:rFonts w:ascii="Calibri" w:cs="Calibri" w:eastAsia="Calibri" w:hAnsi="Calibri"/>
          <w:b/>
          <w:bCs/>
          <w:color w:val="1F3864"/>
          <w:sz w:val="30"/>
          <w:szCs w:val="30"/>
        </w:rPr>
        <w:t xml:space="preserve">5. System Architecture</w:t>
      </w:r>
    </w:p>
    <w:p>
      <w:pPr>
        <w:spacing w:after="160" w:line="276"/>
      </w:pPr>
      <w:r>
        <w:rPr>
          <w:rFonts w:ascii="Calibri" w:cs="Calibri" w:eastAsia="Calibri" w:hAnsi="Calibri"/>
          <w:i w:val="false"/>
          <w:iCs w:val="false"/>
          <w:color w:val="222222"/>
          <w:sz w:val="21"/>
          <w:szCs w:val="21"/>
        </w:rPr>
        <w:t xml:space="preserve">The system follows a standard three-tier architecture with a model-serving layer added for LLM inference. The diagram below shows how a question flows from the frontend through the backend to the model and data layers, and how platform services support the request.</w:t>
      </w:r>
    </w:p>
    <w:p>
      <w:pPr>
        <w:spacing w:after="120"/>
        <w:jc w:val="center"/>
      </w:pPr>
      <w:r>
        <w:drawing>
          <wp:inline distT="0" distB="0" distL="0" distR="0">
            <wp:extent cx="5334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147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34"/>
        <w:gridCol w:w="5054"/>
      </w:tblGrid>
      <w:tr>
        <w:trPr>
          <w:tblHeader/>
        </w:trPr>
        <w:tc>
          <w:tcPr>
            <w:tcW w:type="dxa" w:w="1872"/>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Layer</w:t>
            </w:r>
          </w:p>
        </w:tc>
        <w:tc>
          <w:tcPr>
            <w:tcW w:type="dxa" w:w="2434"/>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Component</w:t>
            </w:r>
          </w:p>
        </w:tc>
        <w:tc>
          <w:tcPr>
            <w:tcW w:type="dxa" w:w="5054"/>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Responsibility</w:t>
            </w:r>
          </w:p>
        </w:tc>
      </w:tr>
      <w:tr>
        <w:tc>
          <w:tcPr>
            <w:tcW w:type="dxa" w:w="187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Frontend</w:t>
            </w:r>
          </w:p>
        </w:tc>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React</w:t>
            </w:r>
          </w:p>
        </w:tc>
        <w:tc>
          <w:tcPr>
            <w:tcW w:type="dxa" w:w="505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Question input, dynamic auto-charting, results table, and SQL display</w:t>
            </w:r>
          </w:p>
        </w:tc>
      </w:tr>
      <w:tr>
        <w:tc>
          <w:tcPr>
            <w:tcW w:type="dxa" w:w="187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Backend</w:t>
            </w:r>
          </w:p>
        </w:tc>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FastAPI (Python)</w:t>
            </w:r>
          </w:p>
        </w:tc>
        <w:tc>
          <w:tcPr>
            <w:tcW w:type="dxa" w:w="505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Prompt construction, orchestration, query validation, and JWT-based auth</w:t>
            </w:r>
          </w:p>
        </w:tc>
      </w:tr>
      <w:tr>
        <w:tc>
          <w:tcPr>
            <w:tcW w:type="dxa" w:w="187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Model serving</w:t>
            </w:r>
          </w:p>
        </w:tc>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Ollama</w:t>
            </w:r>
          </w:p>
        </w:tc>
        <w:tc>
          <w:tcPr>
            <w:tcW w:type="dxa" w:w="505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Hosts and serves the open-source LLM for local, on-premises inference</w:t>
            </w:r>
          </w:p>
        </w:tc>
      </w:tr>
      <w:tr>
        <w:tc>
          <w:tcPr>
            <w:tcW w:type="dxa" w:w="187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Database</w:t>
            </w:r>
          </w:p>
        </w:tc>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SQLite</w:t>
            </w:r>
          </w:p>
        </w:tc>
        <w:tc>
          <w:tcPr>
            <w:tcW w:type="dxa" w:w="505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Stores business data with a clear path to production SQL Server</w:t>
            </w:r>
          </w:p>
        </w:tc>
      </w:tr>
      <w:tr>
        <w:tc>
          <w:tcPr>
            <w:tcW w:type="dxa" w:w="187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Visualization</w:t>
            </w:r>
          </w:p>
        </w:tc>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Recharts</w:t>
            </w:r>
          </w:p>
        </w:tc>
        <w:tc>
          <w:tcPr>
            <w:tcW w:type="dxa" w:w="505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Provides seamless integration for dynamic, auto-generated bar charts</w:t>
            </w:r>
          </w:p>
        </w:tc>
      </w:tr>
      <w:tr>
        <w:tc>
          <w:tcPr>
            <w:tcW w:type="dxa" w:w="187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Governance</w:t>
            </w:r>
          </w:p>
        </w:tc>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Audit &amp; Log</w:t>
            </w:r>
          </w:p>
        </w:tc>
        <w:tc>
          <w:tcPr>
            <w:tcW w:type="dxa" w:w="505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Tracks every user query, timestamp, and generated SQL for audit purposes</w:t>
            </w:r>
          </w:p>
        </w:tc>
      </w:tr>
    </w:tbl>
    <w:p>
      <w:pPr>
        <w:spacing w:after="240" w:before="100"/>
      </w:pPr>
      <w:r>
        <w:rPr>
          <w:rFonts w:ascii="Calibri" w:cs="Calibri" w:eastAsia="Calibri" w:hAnsi="Calibri"/>
          <w:i/>
          <w:iCs/>
          <w:color w:val="444444"/>
          <w:sz w:val="18"/>
          <w:szCs w:val="18"/>
        </w:rPr>
        <w:t xml:space="preserve">Request Flow: The frontend sends the user's question to the backend, which builds a schema-aware prompt, calls the LLM via Ollama, validates and executes the resulting SQL against the database, and returns the formatted results, AI-generated insights, and SQL text to the frontend for display.</w:t>
      </w:r>
    </w:p>
    <w:p>
      <w:pPr>
        <w:pStyle w:val="Heading1"/>
        <w:pBdr>
          <w:bottom w:val="single" w:color="1F3864" w:sz="8" w:space="4"/>
        </w:pBdr>
        <w:spacing w:after="200" w:before="360"/>
      </w:pPr>
      <w:r>
        <w:rPr>
          <w:rFonts w:ascii="Calibri" w:cs="Calibri" w:eastAsia="Calibri" w:hAnsi="Calibri"/>
          <w:b/>
          <w:bCs/>
          <w:color w:val="1F3864"/>
          <w:sz w:val="30"/>
          <w:szCs w:val="30"/>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621"/>
        <w:gridCol w:w="4680"/>
      </w:tblGrid>
      <w:tr>
        <w:trPr>
          <w:tblHeader/>
        </w:trPr>
        <w:tc>
          <w:tcPr>
            <w:tcW w:type="dxa" w:w="2059"/>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Category</w:t>
            </w:r>
          </w:p>
        </w:tc>
        <w:tc>
          <w:tcPr>
            <w:tcW w:type="dxa" w:w="2621"/>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Choice</w:t>
            </w:r>
          </w:p>
        </w:tc>
        <w:tc>
          <w:tcPr>
            <w:tcW w:type="dxa" w:w="4680"/>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Rationale</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Language model</w:t>
            </w:r>
          </w:p>
        </w:tc>
        <w:tc>
          <w:tcPr>
            <w:tcW w:type="dxa" w:w="262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Qwen2.5-Coder (7B / 14B)</w:t>
            </w:r>
          </w:p>
        </w:tc>
        <w:tc>
          <w:tcPr>
            <w:tcW w:type="dxa" w:w="4680"/>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Strong reasoning and SQL generation; Apache 2.0 licensed</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Backend framework</w:t>
            </w:r>
          </w:p>
        </w:tc>
        <w:tc>
          <w:tcPr>
            <w:tcW w:type="dxa" w:w="262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FastAPI</w:t>
            </w:r>
          </w:p>
        </w:tc>
        <w:tc>
          <w:tcPr>
            <w:tcW w:type="dxa" w:w="4680"/>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Lightweight, async-friendly, strong typing via Pydantic</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Frontend framework</w:t>
            </w:r>
          </w:p>
        </w:tc>
        <w:tc>
          <w:tcPr>
            <w:tcW w:type="dxa" w:w="262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React</w:t>
            </w:r>
          </w:p>
        </w:tc>
        <w:tc>
          <w:tcPr>
            <w:tcW w:type="dxa" w:w="4680"/>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Component-based UI, wide team familiarity</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Visualization</w:t>
            </w:r>
          </w:p>
        </w:tc>
        <w:tc>
          <w:tcPr>
            <w:tcW w:type="dxa" w:w="262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Recharts</w:t>
            </w:r>
          </w:p>
        </w:tc>
        <w:tc>
          <w:tcPr>
            <w:tcW w:type="dxa" w:w="4680"/>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Seamless integration for dynamic, auto-generated charts</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Authentication</w:t>
            </w:r>
          </w:p>
        </w:tc>
        <w:tc>
          <w:tcPr>
            <w:tcW w:type="dxa" w:w="262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Custom JWT implementation</w:t>
            </w:r>
          </w:p>
        </w:tc>
        <w:tc>
          <w:tcPr>
            <w:tcW w:type="dxa" w:w="4680"/>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Secure, stateless session management and role-based access control</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Database</w:t>
            </w:r>
          </w:p>
        </w:tc>
        <w:tc>
          <w:tcPr>
            <w:tcW w:type="dxa" w:w="262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SQLite</w:t>
            </w:r>
          </w:p>
        </w:tc>
        <w:tc>
          <w:tcPr>
            <w:tcW w:type="dxa" w:w="4680"/>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Easy local demo path with a clear production upgrade path</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Model serving</w:t>
            </w:r>
          </w:p>
        </w:tc>
        <w:tc>
          <w:tcPr>
            <w:tcW w:type="dxa" w:w="262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Ollama</w:t>
            </w:r>
          </w:p>
        </w:tc>
        <w:tc>
          <w:tcPr>
            <w:tcW w:type="dxa" w:w="4680"/>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Simplifies local inference for on-premises deployment</w:t>
            </w:r>
          </w:p>
        </w:tc>
      </w:tr>
    </w:tbl>
    <w:p>
      <w:pPr>
        <w:spacing w:after="240" w:before="100"/>
      </w:pPr>
      <w:r>
        <w:rPr>
          <w:rFonts w:ascii="Calibri" w:cs="Calibri" w:eastAsia="Calibri" w:hAnsi="Calibri"/>
          <w:i/>
          <w:iCs/>
          <w:color w:val="444444"/>
          <w:sz w:val="18"/>
          <w:szCs w:val="18"/>
        </w:rPr>
        <w:t xml:space="preserve">All components are open-source, avoiding proprietary licensing costs and keeping the entire stack deployable within the organization's own infrastructure.</w:t>
      </w:r>
    </w:p>
    <w:p>
      <w:pPr>
        <w:pStyle w:val="Heading1"/>
        <w:pBdr>
          <w:bottom w:val="single" w:color="1F3864" w:sz="8" w:space="4"/>
        </w:pBdr>
        <w:spacing w:after="200" w:before="360"/>
      </w:pPr>
      <w:r>
        <w:rPr>
          <w:rFonts w:ascii="Calibri" w:cs="Calibri" w:eastAsia="Calibri" w:hAnsi="Calibri"/>
          <w:b/>
          <w:bCs/>
          <w:color w:val="1F3864"/>
          <w:sz w:val="30"/>
          <w:szCs w:val="30"/>
        </w:rPr>
        <w:t xml:space="preserve">7. Feature Set</w:t>
      </w:r>
    </w:p>
    <w:p>
      <w:pPr>
        <w:spacing w:after="160" w:line="276"/>
      </w:pPr>
      <w:r>
        <w:rPr>
          <w:rFonts w:ascii="Calibri" w:cs="Calibri" w:eastAsia="Calibri" w:hAnsi="Calibri"/>
          <w:i w:val="false"/>
          <w:iCs w:val="false"/>
          <w:color w:val="222222"/>
          <w:sz w:val="21"/>
          <w:szCs w:val="21"/>
        </w:rPr>
        <w:t xml:space="preserve">Features are grouped into delivery tiers so the core experience is functional early, with additional capability layered in as time allows.</w:t>
      </w:r>
    </w:p>
    <w:p>
      <w:pPr>
        <w:pStyle w:val="Heading2"/>
        <w:spacing w:after="140" w:before="260"/>
      </w:pPr>
      <w:r>
        <w:rPr>
          <w:rFonts w:ascii="Calibri" w:cs="Calibri" w:eastAsia="Calibri" w:hAnsi="Calibri"/>
          <w:b/>
          <w:bCs/>
          <w:color w:val="2E5395"/>
          <w:sz w:val="24"/>
          <w:szCs w:val="24"/>
        </w:rPr>
        <w:t xml:space="preserve">Tier 1 — Core (demo-critical)</w:t>
      </w:r>
    </w:p>
    <w:p>
      <w:pPr>
        <w:pStyle w:val="ListParagraph"/>
        <w:numPr>
          <w:ilvl w:val="0"/>
          <w:numId w:val="2"/>
        </w:numPr>
        <w:spacing w:after="90" w:line="276"/>
      </w:pPr>
      <w:r>
        <w:rPr>
          <w:rFonts w:ascii="Calibri" w:cs="Calibri" w:eastAsia="Calibri" w:hAnsi="Calibri"/>
          <w:sz w:val="21"/>
          <w:szCs w:val="21"/>
        </w:rPr>
        <w:t xml:space="preserve">Natural language input and SQL generation</w:t>
      </w:r>
    </w:p>
    <w:p>
      <w:pPr>
        <w:pStyle w:val="ListParagraph"/>
        <w:numPr>
          <w:ilvl w:val="0"/>
          <w:numId w:val="2"/>
        </w:numPr>
        <w:spacing w:after="90" w:line="276"/>
      </w:pPr>
      <w:r>
        <w:rPr>
          <w:rFonts w:ascii="Calibri" w:cs="Calibri" w:eastAsia="Calibri" w:hAnsi="Calibri"/>
          <w:sz w:val="21"/>
          <w:szCs w:val="21"/>
        </w:rPr>
        <w:t xml:space="preserve">Query execution against the database</w:t>
      </w:r>
    </w:p>
    <w:p>
      <w:pPr>
        <w:pStyle w:val="ListParagraph"/>
        <w:numPr>
          <w:ilvl w:val="0"/>
          <w:numId w:val="2"/>
        </w:numPr>
        <w:spacing w:after="90" w:line="276"/>
      </w:pPr>
      <w:r>
        <w:rPr>
          <w:rFonts w:ascii="Calibri" w:cs="Calibri" w:eastAsia="Calibri" w:hAnsi="Calibri"/>
          <w:sz w:val="21"/>
          <w:szCs w:val="21"/>
        </w:rPr>
        <w:t xml:space="preserve">Results table with generated SQL shown for transparency</w:t>
      </w:r>
    </w:p>
    <w:p>
      <w:pPr>
        <w:pStyle w:val="Heading2"/>
        <w:spacing w:after="140" w:before="260"/>
      </w:pPr>
      <w:r>
        <w:rPr>
          <w:rFonts w:ascii="Calibri" w:cs="Calibri" w:eastAsia="Calibri" w:hAnsi="Calibri"/>
          <w:b/>
          <w:bCs/>
          <w:color w:val="2E5395"/>
          <w:sz w:val="24"/>
          <w:szCs w:val="24"/>
        </w:rPr>
        <w:t xml:space="preserve">Tier 2 — Supporting Functionality</w:t>
      </w:r>
    </w:p>
    <w:p>
      <w:pPr>
        <w:pStyle w:val="ListParagraph"/>
        <w:numPr>
          <w:ilvl w:val="0"/>
          <w:numId w:val="2"/>
        </w:numPr>
        <w:spacing w:after="90" w:line="276"/>
      </w:pPr>
      <w:r>
        <w:rPr>
          <w:rFonts w:ascii="Calibri" w:cs="Calibri" w:eastAsia="Calibri" w:hAnsi="Calibri"/>
          <w:sz w:val="21"/>
          <w:szCs w:val="21"/>
        </w:rPr>
        <w:t xml:space="preserve">Schema-aware prompting and error self-correction</w:t>
      </w:r>
    </w:p>
    <w:p>
      <w:pPr>
        <w:pStyle w:val="ListParagraph"/>
        <w:numPr>
          <w:ilvl w:val="0"/>
          <w:numId w:val="2"/>
        </w:numPr>
        <w:spacing w:after="90" w:line="276"/>
      </w:pPr>
      <w:r>
        <w:rPr>
          <w:rFonts w:ascii="Calibri" w:cs="Calibri" w:eastAsia="Calibri" w:hAnsi="Calibri"/>
          <w:sz w:val="21"/>
          <w:szCs w:val="21"/>
        </w:rPr>
        <w:t xml:space="preserve">Query history log</w:t>
      </w:r>
    </w:p>
    <w:p>
      <w:pPr>
        <w:pStyle w:val="ListParagraph"/>
        <w:numPr>
          <w:ilvl w:val="0"/>
          <w:numId w:val="2"/>
        </w:numPr>
        <w:spacing w:after="90" w:line="276"/>
      </w:pPr>
      <w:r>
        <w:rPr>
          <w:rFonts w:ascii="Calibri" w:cs="Calibri" w:eastAsia="Calibri" w:hAnsi="Calibri"/>
          <w:sz w:val="21"/>
          <w:szCs w:val="21"/>
        </w:rPr>
        <w:t xml:space="preserve">Follow-up / conversational context</w:t>
      </w:r>
    </w:p>
    <w:p>
      <w:pPr>
        <w:pStyle w:val="ListParagraph"/>
        <w:numPr>
          <w:ilvl w:val="0"/>
          <w:numId w:val="2"/>
        </w:numPr>
        <w:spacing w:after="90" w:line="276"/>
      </w:pPr>
      <w:r>
        <w:rPr>
          <w:rFonts w:ascii="Calibri" w:cs="Calibri" w:eastAsia="Calibri" w:hAnsi="Calibri"/>
          <w:sz w:val="21"/>
          <w:szCs w:val="21"/>
        </w:rPr>
        <w:t xml:space="preserve">Read-only guardrails, CSV export, loading states</w:t>
      </w:r>
    </w:p>
    <w:p>
      <w:pPr>
        <w:pStyle w:val="Heading2"/>
        <w:spacing w:after="140" w:before="260"/>
      </w:pPr>
      <w:r>
        <w:rPr>
          <w:rFonts w:ascii="Calibri" w:cs="Calibri" w:eastAsia="Calibri" w:hAnsi="Calibri"/>
          <w:b/>
          <w:bCs/>
          <w:color w:val="2E5395"/>
          <w:sz w:val="24"/>
          <w:szCs w:val="24"/>
        </w:rPr>
        <w:t xml:space="preserve">Tier 3–4 — Data Handling, Trust &amp; Safety</w:t>
      </w:r>
    </w:p>
    <w:p>
      <w:pPr>
        <w:pStyle w:val="ListParagraph"/>
        <w:numPr>
          <w:ilvl w:val="0"/>
          <w:numId w:val="2"/>
        </w:numPr>
        <w:spacing w:after="90" w:line="276"/>
      </w:pPr>
      <w:r>
        <w:rPr>
          <w:rFonts w:ascii="Calibri" w:cs="Calibri" w:eastAsia="Calibri" w:hAnsi="Calibri"/>
          <w:sz w:val="21"/>
          <w:szCs w:val="21"/>
        </w:rPr>
        <w:t xml:space="preserve">Multi-table join support and a schema explorer panel</w:t>
      </w:r>
    </w:p>
    <w:p>
      <w:pPr>
        <w:pStyle w:val="ListParagraph"/>
        <w:numPr>
          <w:ilvl w:val="0"/>
          <w:numId w:val="2"/>
        </w:numPr>
        <w:spacing w:after="90" w:line="276"/>
      </w:pPr>
      <w:r>
        <w:rPr>
          <w:rFonts w:ascii="Calibri" w:cs="Calibri" w:eastAsia="Calibri" w:hAnsi="Calibri"/>
          <w:sz w:val="21"/>
          <w:szCs w:val="21"/>
        </w:rPr>
        <w:t xml:space="preserve">Sample / suggested questions for new users</w:t>
      </w:r>
    </w:p>
    <w:p>
      <w:pPr>
        <w:pStyle w:val="ListParagraph"/>
        <w:numPr>
          <w:ilvl w:val="0"/>
          <w:numId w:val="2"/>
        </w:numPr>
        <w:spacing w:after="90" w:line="276"/>
      </w:pPr>
      <w:r>
        <w:rPr>
          <w:rFonts w:ascii="Calibri" w:cs="Calibri" w:eastAsia="Calibri" w:hAnsi="Calibri"/>
          <w:sz w:val="21"/>
          <w:szCs w:val="21"/>
        </w:rPr>
        <w:t xml:space="preserve">Row-limit guards, SQL sanitization, and user feedback capture</w:t>
      </w:r>
    </w:p>
    <w:p>
      <w:pPr>
        <w:pStyle w:val="Heading2"/>
        <w:spacing w:after="140" w:before="260"/>
      </w:pPr>
      <w:r>
        <w:rPr>
          <w:rFonts w:ascii="Calibri" w:cs="Calibri" w:eastAsia="Calibri" w:hAnsi="Calibri"/>
          <w:b/>
          <w:bCs/>
          <w:color w:val="2E5395"/>
          <w:sz w:val="24"/>
          <w:szCs w:val="24"/>
        </w:rPr>
        <w:t xml:space="preserve">Tier 5–6 — UX Polish and Enterprise Readiness</w:t>
      </w:r>
    </w:p>
    <w:p>
      <w:pPr>
        <w:pStyle w:val="ListParagraph"/>
        <w:numPr>
          <w:ilvl w:val="0"/>
          <w:numId w:val="2"/>
        </w:numPr>
        <w:spacing w:after="90" w:line="276"/>
      </w:pPr>
      <w:r>
        <w:rPr>
          <w:rFonts w:ascii="Calibri" w:cs="Calibri" w:eastAsia="Calibri" w:hAnsi="Calibri"/>
          <w:sz w:val="21"/>
          <w:szCs w:val="21"/>
        </w:rPr>
        <w:t xml:space="preserve">Auto-charting (bar charts) using Recharts for visual analysis</w:t>
      </w:r>
    </w:p>
    <w:p>
      <w:pPr>
        <w:pStyle w:val="ListParagraph"/>
        <w:numPr>
          <w:ilvl w:val="0"/>
          <w:numId w:val="2"/>
        </w:numPr>
        <w:spacing w:after="90" w:line="276"/>
      </w:pPr>
      <w:r>
        <w:rPr>
          <w:rFonts w:ascii="Calibri" w:cs="Calibri" w:eastAsia="Calibri" w:hAnsi="Calibri"/>
          <w:sz w:val="21"/>
          <w:szCs w:val="21"/>
        </w:rPr>
        <w:t xml:space="preserve">AI-driven data insights for human-readable summaries</w:t>
      </w:r>
    </w:p>
    <w:p>
      <w:pPr>
        <w:pStyle w:val="ListParagraph"/>
        <w:numPr>
          <w:ilvl w:val="0"/>
          <w:numId w:val="2"/>
        </w:numPr>
        <w:spacing w:after="90" w:line="276"/>
      </w:pPr>
      <w:r>
        <w:rPr>
          <w:rFonts w:ascii="Calibri" w:cs="Calibri" w:eastAsia="Calibri" w:hAnsi="Calibri"/>
          <w:sz w:val="21"/>
          <w:szCs w:val="21"/>
        </w:rPr>
        <w:t xml:space="preserve">CSV export utility for data portability</w:t>
      </w:r>
    </w:p>
    <w:p>
      <w:pPr>
        <w:pStyle w:val="ListParagraph"/>
        <w:numPr>
          <w:ilvl w:val="0"/>
          <w:numId w:val="2"/>
        </w:numPr>
        <w:spacing w:after="90" w:line="276"/>
      </w:pPr>
      <w:r>
        <w:rPr>
          <w:rFonts w:ascii="Calibri" w:cs="Calibri" w:eastAsia="Calibri" w:hAnsi="Calibri"/>
          <w:sz w:val="21"/>
          <w:szCs w:val="21"/>
        </w:rPr>
        <w:t xml:space="preserve">Role-based access control (RBAC) via custom JWT authentication</w:t>
      </w:r>
    </w:p>
    <w:p>
      <w:pPr>
        <w:pStyle w:val="ListParagraph"/>
        <w:numPr>
          <w:ilvl w:val="0"/>
          <w:numId w:val="2"/>
        </w:numPr>
        <w:spacing w:after="90" w:line="276"/>
      </w:pPr>
      <w:r>
        <w:rPr>
          <w:rFonts w:ascii="Calibri" w:cs="Calibri" w:eastAsia="Calibri" w:hAnsi="Calibri"/>
          <w:sz w:val="21"/>
          <w:szCs w:val="21"/>
        </w:rPr>
        <w:t xml:space="preserve">Admin dashboard for audit logging and system monitoring</w:t>
      </w:r>
    </w:p>
    <w:p>
      <w:pPr>
        <w:pStyle w:val="ListParagraph"/>
        <w:numPr>
          <w:ilvl w:val="0"/>
          <w:numId w:val="2"/>
        </w:numPr>
        <w:spacing w:after="90" w:line="276"/>
      </w:pPr>
      <w:r>
        <w:rPr>
          <w:rFonts w:ascii="Calibri" w:cs="Calibri" w:eastAsia="Calibri" w:hAnsi="Calibri"/>
          <w:sz w:val="21"/>
          <w:szCs w:val="21"/>
        </w:rPr>
        <w:t xml:space="preserve">Admin CRUD capabilities (INSERT, UPDATE, DELETE) via natural language</w:t>
      </w:r>
    </w:p>
    <w:p>
      <w:pPr>
        <w:pStyle w:val="ListParagraph"/>
        <w:numPr>
          <w:ilvl w:val="0"/>
          <w:numId w:val="2"/>
        </w:numPr>
        <w:spacing w:after="90" w:line="276"/>
      </w:pPr>
      <w:r>
        <w:rPr>
          <w:rFonts w:ascii="Calibri" w:cs="Calibri" w:eastAsia="Calibri" w:hAnsi="Calibri"/>
          <w:sz w:val="21"/>
          <w:szCs w:val="21"/>
        </w:rPr>
        <w:t xml:space="preserve">Enhanced query security guardrails and automatic LIMIT enforcement</w:t>
      </w:r>
    </w:p>
    <w:p>
      <w:pPr>
        <w:pStyle w:val="Heading2"/>
        <w:spacing w:after="140" w:before="260"/>
      </w:pPr>
      <w:r>
        <w:rPr>
          <w:rFonts w:ascii="Calibri" w:cs="Calibri" w:eastAsia="Calibri" w:hAnsi="Calibri"/>
          <w:b/>
          <w:bCs/>
          <w:color w:val="2E5395"/>
          <w:sz w:val="24"/>
          <w:szCs w:val="24"/>
        </w:rPr>
        <w:t xml:space="preserve">Tier 7–8 — Multilingual and Stretch Goals</w:t>
      </w:r>
    </w:p>
    <w:p>
      <w:pPr>
        <w:pStyle w:val="ListParagraph"/>
        <w:numPr>
          <w:ilvl w:val="0"/>
          <w:numId w:val="2"/>
        </w:numPr>
        <w:spacing w:after="90" w:line="276"/>
      </w:pPr>
      <w:r>
        <w:rPr>
          <w:rFonts w:ascii="Calibri" w:cs="Calibri" w:eastAsia="Calibri" w:hAnsi="Calibri"/>
          <w:sz w:val="21"/>
          <w:szCs w:val="21"/>
        </w:rPr>
        <w:t xml:space="preserve">Question input and response translation across Hindi, Telugu, Tamil, and French</w:t>
      </w:r>
    </w:p>
    <w:p>
      <w:pPr>
        <w:pStyle w:val="ListParagraph"/>
        <w:numPr>
          <w:ilvl w:val="0"/>
          <w:numId w:val="2"/>
        </w:numPr>
        <w:spacing w:after="90" w:line="276"/>
      </w:pPr>
      <w:r>
        <w:rPr>
          <w:rFonts w:ascii="Calibri" w:cs="Calibri" w:eastAsia="Calibri" w:hAnsi="Calibri"/>
          <w:sz w:val="21"/>
          <w:szCs w:val="21"/>
        </w:rPr>
        <w:t xml:space="preserve">Multi-turn report building and plain-English SQL explanations</w:t>
      </w:r>
    </w:p>
    <w:p>
      <w:pPr>
        <w:pStyle w:val="Heading1"/>
        <w:pBdr>
          <w:bottom w:val="single" w:color="1F3864" w:sz="8" w:space="4"/>
        </w:pBdr>
        <w:spacing w:after="200" w:before="360"/>
      </w:pPr>
      <w:r>
        <w:rPr>
          <w:rFonts w:ascii="Calibri" w:cs="Calibri" w:eastAsia="Calibri" w:hAnsi="Calibri"/>
          <w:b/>
          <w:bCs/>
          <w:color w:val="1F3864"/>
          <w:sz w:val="30"/>
          <w:szCs w:val="30"/>
        </w:rPr>
        <w:t xml:space="preserve">8. Requirements</w:t>
      </w:r>
    </w:p>
    <w:p>
      <w:pPr>
        <w:pStyle w:val="Heading2"/>
        <w:spacing w:after="140" w:before="260"/>
      </w:pPr>
      <w:r>
        <w:rPr>
          <w:rFonts w:ascii="Calibri" w:cs="Calibri" w:eastAsia="Calibri" w:hAnsi="Calibri"/>
          <w:b/>
          <w:bCs/>
          <w:color w:val="2E5395"/>
          <w:sz w:val="24"/>
          <w:szCs w:val="24"/>
        </w:rPr>
        <w:t xml:space="preserve">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8237"/>
      </w:tblGrid>
      <w:tr>
        <w:trPr>
          <w:tblHeader/>
        </w:trPr>
        <w:tc>
          <w:tcPr>
            <w:tcW w:type="dxa" w:w="1123"/>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8237"/>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r>
      <w:tr>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FR-1</w:t>
            </w:r>
          </w:p>
        </w:tc>
        <w:tc>
          <w:tcPr>
            <w:tcW w:type="dxa" w:w="8237"/>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accept a natural-language question from the user through a web interface.</w:t>
            </w:r>
          </w:p>
        </w:tc>
      </w:tr>
      <w:tr>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FR-2</w:t>
            </w:r>
          </w:p>
        </w:tc>
        <w:tc>
          <w:tcPr>
            <w:tcW w:type="dxa" w:w="8237"/>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generate a corresponding SQL query using an open-source language model, informed by the live database schema.</w:t>
            </w:r>
          </w:p>
        </w:tc>
      </w:tr>
      <w:tr>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FR-3</w:t>
            </w:r>
          </w:p>
        </w:tc>
        <w:tc>
          <w:tcPr>
            <w:tcW w:type="dxa" w:w="8237"/>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restrict standard users to read-only SELECT statements while allowing administrative CRUD operations.</w:t>
            </w:r>
          </w:p>
        </w:tc>
      </w:tr>
      <w:tr>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FR-4</w:t>
            </w:r>
          </w:p>
        </w:tc>
        <w:tc>
          <w:tcPr>
            <w:tcW w:type="dxa" w:w="8237"/>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automatically apply a row limit to any SELECT query that does not specify one.</w:t>
            </w:r>
          </w:p>
        </w:tc>
      </w:tr>
      <w:tr>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FR-5</w:t>
            </w:r>
          </w:p>
        </w:tc>
        <w:tc>
          <w:tcPr>
            <w:tcW w:type="dxa" w:w="8237"/>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execute the validated query against the configured database and return results.</w:t>
            </w:r>
          </w:p>
        </w:tc>
      </w:tr>
      <w:tr>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FR-6</w:t>
            </w:r>
          </w:p>
        </w:tc>
        <w:tc>
          <w:tcPr>
            <w:tcW w:type="dxa" w:w="8237"/>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display the generated SQL alongside the results for transparency.</w:t>
            </w:r>
          </w:p>
        </w:tc>
      </w:tr>
      <w:tr>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FR-7</w:t>
            </w:r>
          </w:p>
        </w:tc>
        <w:tc>
          <w:tcPr>
            <w:tcW w:type="dxa" w:w="8237"/>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log each question, the generated SQL, and the result count to a query history.</w:t>
            </w:r>
          </w:p>
        </w:tc>
      </w:tr>
      <w:tr>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FR-8</w:t>
            </w:r>
          </w:p>
        </w:tc>
        <w:tc>
          <w:tcPr>
            <w:tcW w:type="dxa" w:w="8237"/>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provide AI-generated data insights and auto-charting for query results.</w:t>
            </w:r>
          </w:p>
        </w:tc>
      </w:tr>
      <w:tr>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FR-9</w:t>
            </w:r>
          </w:p>
        </w:tc>
        <w:tc>
          <w:tcPr>
            <w:tcW w:type="dxa" w:w="8237"/>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allow authenticated users to export results as CSV.</w:t>
            </w:r>
          </w:p>
        </w:tc>
      </w:tr>
      <w:tr>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FR-10</w:t>
            </w:r>
          </w:p>
        </w:tc>
        <w:tc>
          <w:tcPr>
            <w:tcW w:type="dxa" w:w="8237"/>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implement RBAC to distinguish between standard users and administrators.</w:t>
            </w:r>
          </w:p>
        </w:tc>
      </w:tr>
      <w:tr>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FR-11</w:t>
            </w:r>
          </w:p>
        </w:tc>
        <w:tc>
          <w:tcPr>
            <w:tcW w:type="dxa" w:w="8237"/>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support multilingual input (Hindi, Telugu, Tamil, French) via internal translation.</w:t>
            </w:r>
          </w:p>
        </w:tc>
      </w:tr>
      <w:tr>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FR-12</w:t>
            </w:r>
          </w:p>
        </w:tc>
        <w:tc>
          <w:tcPr>
            <w:tcW w:type="dxa" w:w="8237"/>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provide an Admin Dashboard for monitoring system logs and activity.</w:t>
            </w:r>
          </w:p>
        </w:tc>
      </w:tr>
    </w:tbl>
    <w:p>
      <w:pPr>
        <w:pStyle w:val="Heading2"/>
        <w:spacing w:after="140" w:before="260"/>
      </w:pPr>
      <w:r>
        <w:rPr>
          <w:rFonts w:ascii="Calibri" w:cs="Calibri" w:eastAsia="Calibri" w:hAnsi="Calibri"/>
          <w:b/>
          <w:bCs/>
          <w:color w:val="2E5395"/>
          <w:sz w:val="24"/>
          <w:szCs w:val="24"/>
        </w:rPr>
        <w:t xml:space="preserve">8.2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8237"/>
      </w:tblGrid>
      <w:tr>
        <w:trPr>
          <w:tblHeader/>
        </w:trPr>
        <w:tc>
          <w:tcPr>
            <w:tcW w:type="dxa" w:w="1123"/>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ID</w:t>
            </w:r>
          </w:p>
        </w:tc>
        <w:tc>
          <w:tcPr>
            <w:tcW w:type="dxa" w:w="8237"/>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Requirement</w:t>
            </w:r>
          </w:p>
        </w:tc>
      </w:tr>
      <w:tr>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NFR-1</w:t>
            </w:r>
          </w:p>
        </w:tc>
        <w:tc>
          <w:tcPr>
            <w:tcW w:type="dxa" w:w="8237"/>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All model inference and data storage shall remain on-premises.</w:t>
            </w:r>
          </w:p>
        </w:tc>
      </w:tr>
      <w:tr>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NFR-2</w:t>
            </w:r>
          </w:p>
        </w:tc>
        <w:tc>
          <w:tcPr>
            <w:tcW w:type="dxa" w:w="8237"/>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Typical queries shall return results within 3 seconds under normal load.</w:t>
            </w:r>
          </w:p>
        </w:tc>
      </w:tr>
      <w:tr>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NFR-3</w:t>
            </w:r>
          </w:p>
        </w:tc>
        <w:tc>
          <w:tcPr>
            <w:tcW w:type="dxa" w:w="8237"/>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Every executed query shall be recorded in an audit log with user identity and timestamp.</w:t>
            </w:r>
          </w:p>
        </w:tc>
      </w:tr>
      <w:tr>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NFR-4</w:t>
            </w:r>
          </w:p>
        </w:tc>
        <w:tc>
          <w:tcPr>
            <w:tcW w:type="dxa" w:w="8237"/>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model-serving layer shall be swappable via configuration without code changes.</w:t>
            </w:r>
          </w:p>
        </w:tc>
      </w:tr>
      <w:tr>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NFR-5</w:t>
            </w:r>
          </w:p>
        </w:tc>
        <w:tc>
          <w:tcPr>
            <w:tcW w:type="dxa" w:w="8237"/>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system shall self-correct at most once per query on execution failure.</w:t>
            </w:r>
          </w:p>
        </w:tc>
      </w:tr>
      <w:tr>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NFR-6</w:t>
            </w:r>
          </w:p>
        </w:tc>
        <w:tc>
          <w:tcPr>
            <w:tcW w:type="dxa" w:w="8237"/>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application shall use custom JWT-based authentication for secure session management.</w:t>
            </w:r>
          </w:p>
        </w:tc>
      </w:tr>
    </w:tbl>
    <w:p>
      <w:pPr>
        <w:pStyle w:val="Heading2"/>
        <w:spacing w:after="140" w:before="260"/>
      </w:pPr>
      <w:r>
        <w:rPr>
          <w:rFonts w:ascii="Calibri" w:cs="Calibri" w:eastAsia="Calibri" w:hAnsi="Calibri"/>
          <w:b/>
          <w:bCs/>
          <w:color w:val="2E5395"/>
          <w:sz w:val="24"/>
          <w:szCs w:val="24"/>
        </w:rPr>
        <w:t xml:space="preserve">8.3 Environment &amp; Infrastructure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Component</w:t>
            </w:r>
          </w:p>
        </w:tc>
        <w:tc>
          <w:tcPr>
            <w:tcW w:type="dxa" w:w="6926"/>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Minimum Requirement</w:t>
            </w:r>
          </w:p>
        </w:tc>
      </w:tr>
      <w:tr>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Model host</w:t>
            </w:r>
          </w:p>
        </w:tc>
        <w:tc>
          <w:tcPr>
            <w:tcW w:type="dxa" w:w="692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GPU with ≥16 GB VRAM recommended for 7B–14B models (CPU-only viable for demo at reduced speed)</w:t>
            </w:r>
          </w:p>
        </w:tc>
      </w:tr>
      <w:tr>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App server</w:t>
            </w:r>
          </w:p>
        </w:tc>
        <w:tc>
          <w:tcPr>
            <w:tcW w:type="dxa" w:w="6926"/>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4 vCPU / 16 GB RAM for backend, frontend, and demo database</w:t>
            </w:r>
          </w:p>
        </w:tc>
      </w:tr>
      <w:tr>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Software</w:t>
            </w:r>
          </w:p>
        </w:tc>
        <w:tc>
          <w:tcPr>
            <w:tcW w:type="dxa" w:w="692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Python 3.10+, Node.js 18+, Docker, Ollama, SQLite (demo)</w:t>
            </w:r>
          </w:p>
        </w:tc>
      </w:tr>
      <w:tr>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Identity provider</w:t>
            </w:r>
          </w:p>
        </w:tc>
        <w:tc>
          <w:tcPr>
            <w:tcW w:type="dxa" w:w="6926"/>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Custom JWT-based authentication system for secure RBAC</w:t>
            </w:r>
          </w:p>
        </w:tc>
      </w:tr>
      <w:tr>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Network</w:t>
            </w:r>
          </w:p>
        </w:tc>
        <w:tc>
          <w:tcPr>
            <w:tcW w:type="dxa" w:w="692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Internal network access only; no outbound calls required at runtime</w:t>
            </w:r>
          </w:p>
        </w:tc>
      </w:tr>
    </w:tbl>
    <w:p>
      <w:pPr>
        <w:pStyle w:val="Heading1"/>
        <w:pBdr>
          <w:bottom w:val="single" w:color="1F3864" w:sz="8" w:space="4"/>
        </w:pBdr>
        <w:spacing w:after="200" w:before="360"/>
      </w:pPr>
      <w:r>
        <w:rPr>
          <w:rFonts w:ascii="Calibri" w:cs="Calibri" w:eastAsia="Calibri" w:hAnsi="Calibri"/>
          <w:b/>
          <w:bCs/>
          <w:color w:val="1F3864"/>
          <w:sz w:val="30"/>
          <w:szCs w:val="30"/>
        </w:rPr>
        <w:t xml:space="preserve">9. Security &amp; Governance</w:t>
      </w:r>
    </w:p>
    <w:p>
      <w:pPr>
        <w:pStyle w:val="ListParagraph"/>
        <w:numPr>
          <w:ilvl w:val="0"/>
          <w:numId w:val="2"/>
        </w:numPr>
        <w:spacing w:after="90" w:line="276"/>
      </w:pPr>
      <w:r>
        <w:rPr>
          <w:rFonts w:ascii="Calibri" w:cs="Calibri" w:eastAsia="Calibri" w:hAnsi="Calibri"/>
          <w:sz w:val="21"/>
          <w:szCs w:val="21"/>
        </w:rPr>
        <w:t xml:space="preserve">All model inference and data storage remain on-premises; no query content is transmitted to external third-party APIs.</w:t>
      </w:r>
    </w:p>
    <w:p>
      <w:pPr>
        <w:pStyle w:val="ListParagraph"/>
        <w:numPr>
          <w:ilvl w:val="0"/>
          <w:numId w:val="2"/>
        </w:numPr>
        <w:spacing w:after="90" w:line="276"/>
      </w:pPr>
      <w:r>
        <w:rPr>
          <w:rFonts w:ascii="Calibri" w:cs="Calibri" w:eastAsia="Calibri" w:hAnsi="Calibri"/>
          <w:sz w:val="21"/>
          <w:szCs w:val="21"/>
        </w:rPr>
        <w:t xml:space="preserve">Standard users are restricted to SELECT statements, while authenticated administrative users are permitted to perform INSERT, UPDATE, and DELETE operations via validated natural language inputs.</w:t>
      </w:r>
    </w:p>
    <w:p>
      <w:pPr>
        <w:pStyle w:val="ListParagraph"/>
        <w:numPr>
          <w:ilvl w:val="0"/>
          <w:numId w:val="2"/>
        </w:numPr>
        <w:spacing w:after="90" w:line="276"/>
      </w:pPr>
      <w:r>
        <w:rPr>
          <w:rFonts w:ascii="Calibri" w:cs="Calibri" w:eastAsia="Calibri" w:hAnsi="Calibri"/>
          <w:sz w:val="21"/>
          <w:szCs w:val="21"/>
        </w:rPr>
        <w:t xml:space="preserve">Row limits are automatically enforced on all SELECT queries to prevent unbounded result sets and protect system resources.</w:t>
      </w:r>
    </w:p>
    <w:p>
      <w:pPr>
        <w:pStyle w:val="ListParagraph"/>
        <w:numPr>
          <w:ilvl w:val="0"/>
          <w:numId w:val="2"/>
        </w:numPr>
        <w:spacing w:after="90" w:line="276"/>
      </w:pPr>
      <w:r>
        <w:rPr>
          <w:rFonts w:ascii="Calibri" w:cs="Calibri" w:eastAsia="Calibri" w:hAnsi="Calibri"/>
          <w:sz w:val="21"/>
          <w:szCs w:val="21"/>
        </w:rPr>
        <w:t xml:space="preserve">Role-Based Access Control (RBAC) is implemented via a custom JWT-based authentication system to manage user sessions and restrict data access.</w:t>
      </w:r>
    </w:p>
    <w:p>
      <w:pPr>
        <w:pStyle w:val="ListParagraph"/>
        <w:numPr>
          <w:ilvl w:val="0"/>
          <w:numId w:val="2"/>
        </w:numPr>
        <w:spacing w:after="90" w:line="276"/>
      </w:pPr>
      <w:r>
        <w:rPr>
          <w:rFonts w:ascii="Calibri" w:cs="Calibri" w:eastAsia="Calibri" w:hAnsi="Calibri"/>
          <w:sz w:val="21"/>
          <w:szCs w:val="21"/>
        </w:rPr>
        <w:t xml:space="preserve">Every query is logged with user identity, timestamp, and the exact SQL executed to maintain a full audit trail for governance purposes.</w:t>
      </w:r>
    </w:p>
    <w:p>
      <w:pPr>
        <w:pStyle w:val="Heading1"/>
        <w:pBdr>
          <w:bottom w:val="single" w:color="1F3864" w:sz="8" w:space="4"/>
        </w:pBdr>
        <w:spacing w:after="200" w:before="360"/>
      </w:pPr>
      <w:r>
        <w:rPr>
          <w:rFonts w:ascii="Calibri" w:cs="Calibri" w:eastAsia="Calibri" w:hAnsi="Calibri"/>
          <w:b/>
          <w:bCs/>
          <w:color w:val="1F3864"/>
          <w:sz w:val="30"/>
          <w:szCs w:val="30"/>
        </w:rPr>
        <w:t xml:space="preserve">10. Project Timeline</w:t>
      </w:r>
    </w:p>
    <w:p>
      <w:pPr>
        <w:spacing w:after="160" w:line="276"/>
      </w:pPr>
      <w:r>
        <w:rPr>
          <w:rFonts w:ascii="Calibri" w:cs="Calibri" w:eastAsia="Calibri" w:hAnsi="Calibri"/>
          <w:i w:val="false"/>
          <w:iCs w:val="false"/>
          <w:color w:val="222222"/>
          <w:sz w:val="21"/>
          <w:szCs w:val="21"/>
        </w:rPr>
        <w:t xml:space="preserve">The project is scoped as a six-week effort from kickoff to stakeholder review, structured so a working demo exists early and enterprise-readiness and polish are layered in afterward.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123"/>
        <w:gridCol w:w="936"/>
        <w:gridCol w:w="3931"/>
        <w:gridCol w:w="2434"/>
      </w:tblGrid>
      <w:tr>
        <w:trPr>
          <w:tblHeader/>
        </w:trPr>
        <w:tc>
          <w:tcPr>
            <w:tcW w:type="dxa" w:w="936"/>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Phase</w:t>
            </w:r>
          </w:p>
        </w:tc>
        <w:tc>
          <w:tcPr>
            <w:tcW w:type="dxa" w:w="1123"/>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Duration</w:t>
            </w:r>
          </w:p>
        </w:tc>
        <w:tc>
          <w:tcPr>
            <w:tcW w:type="dxa" w:w="936"/>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Effort</w:t>
            </w:r>
          </w:p>
        </w:tc>
        <w:tc>
          <w:tcPr>
            <w:tcW w:type="dxa" w:w="3931"/>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Scope</w:t>
            </w:r>
          </w:p>
        </w:tc>
        <w:tc>
          <w:tcPr>
            <w:tcW w:type="dxa" w:w="2434"/>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Outcome</w:t>
            </w:r>
          </w:p>
        </w:tc>
      </w:tr>
      <w:tr>
        <w:tc>
          <w:tcPr>
            <w:tcW w:type="dxa" w:w="93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Phase 1</w:t>
            </w:r>
          </w:p>
        </w:tc>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Days 1–2</w:t>
            </w:r>
          </w:p>
        </w:tc>
        <w:tc>
          <w:tcPr>
            <w:tcW w:type="dxa" w:w="93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16 hrs</w:t>
            </w:r>
          </w:p>
        </w:tc>
        <w:tc>
          <w:tcPr>
            <w:tcW w:type="dxa" w:w="393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Core pipeline: input, LLM integration, SQL generation, and results display</w:t>
            </w:r>
          </w:p>
        </w:tc>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Working end-to-end demo</w:t>
            </w:r>
          </w:p>
        </w:tc>
      </w:tr>
      <w:tr>
        <w:tc>
          <w:tcPr>
            <w:tcW w:type="dxa" w:w="936"/>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Phase 2</w:t>
            </w:r>
          </w:p>
        </w:tc>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Days 3–4</w:t>
            </w:r>
          </w:p>
        </w:tc>
        <w:tc>
          <w:tcPr>
            <w:tcW w:type="dxa" w:w="936"/>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16 hrs</w:t>
            </w:r>
          </w:p>
        </w:tc>
        <w:tc>
          <w:tcPr>
            <w:tcW w:type="dxa" w:w="393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Query history, read-only guardrails, error handling, and schema explorer</w:t>
            </w:r>
          </w:p>
        </w:tc>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Reliable, presentable tool</w:t>
            </w:r>
          </w:p>
        </w:tc>
      </w:tr>
      <w:tr>
        <w:tc>
          <w:tcPr>
            <w:tcW w:type="dxa" w:w="93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Phase 3</w:t>
            </w:r>
          </w:p>
        </w:tc>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Days 5–6</w:t>
            </w:r>
          </w:p>
        </w:tc>
        <w:tc>
          <w:tcPr>
            <w:tcW w:type="dxa" w:w="93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16 hrs</w:t>
            </w:r>
          </w:p>
        </w:tc>
        <w:tc>
          <w:tcPr>
            <w:tcW w:type="dxa" w:w="393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JWT-based authentication, audit logging, and CRUD operational control</w:t>
            </w:r>
          </w:p>
        </w:tc>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Enterprise-ready</w:t>
            </w:r>
          </w:p>
        </w:tc>
      </w:tr>
      <w:tr>
        <w:tc>
          <w:tcPr>
            <w:tcW w:type="dxa" w:w="936"/>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Phase 4</w:t>
            </w:r>
          </w:p>
        </w:tc>
        <w:tc>
          <w:tcPr>
            <w:tcW w:type="dxa" w:w="1123"/>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Days 7–8</w:t>
            </w:r>
          </w:p>
        </w:tc>
        <w:tc>
          <w:tcPr>
            <w:tcW w:type="dxa" w:w="936"/>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16 hrs</w:t>
            </w:r>
          </w:p>
        </w:tc>
        <w:tc>
          <w:tcPr>
            <w:tcW w:type="dxa" w:w="393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Multilingual support, auto-charting, AI-driven insights, and UX polish</w:t>
            </w:r>
          </w:p>
        </w:tc>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Differentiated, polished product</w:t>
            </w:r>
          </w:p>
        </w:tc>
      </w:tr>
      <w:tr>
        <w:tc>
          <w:tcPr>
            <w:tcW w:type="dxa" w:w="93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Phase 5</w:t>
            </w:r>
          </w:p>
        </w:tc>
        <w:tc>
          <w:tcPr>
            <w:tcW w:type="dxa" w:w="1123"/>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Days 9–10</w:t>
            </w:r>
          </w:p>
        </w:tc>
        <w:tc>
          <w:tcPr>
            <w:tcW w:type="dxa" w:w="936"/>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16 hrs</w:t>
            </w:r>
          </w:p>
        </w:tc>
        <w:tc>
          <w:tcPr>
            <w:tcW w:type="dxa" w:w="393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End-to-end testing, admin dashboard finalization, and walkthrough</w:t>
            </w:r>
          </w:p>
        </w:tc>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Sign-off and rollout decision</w:t>
            </w:r>
          </w:p>
        </w:tc>
      </w:tr>
    </w:tbl>
    <w:p>
      <w:pPr>
        <w:spacing w:after="240" w:before="100"/>
      </w:pPr>
      <w:r>
        <w:rPr>
          <w:rFonts w:ascii="Calibri" w:cs="Calibri" w:eastAsia="Calibri" w:hAnsi="Calibri"/>
          <w:i/>
          <w:iCs/>
          <w:color w:val="444444"/>
          <w:sz w:val="18"/>
          <w:szCs w:val="18"/>
        </w:rPr>
        <w:t xml:space="preserve">Phases overlap slightly by design: supporting features begin before the core pipeline is fully hardened, and testing runs alongside the final polish work rather than strictly after it.</w:t>
      </w:r>
    </w:p>
    <w:p>
      <w:pPr>
        <w:pStyle w:val="Heading1"/>
        <w:pBdr>
          <w:bottom w:val="single" w:color="1F3864" w:sz="8" w:space="4"/>
        </w:pBdr>
        <w:spacing w:after="200" w:before="360"/>
      </w:pPr>
      <w:r>
        <w:rPr>
          <w:rFonts w:ascii="Calibri" w:cs="Calibri" w:eastAsia="Calibri" w:hAnsi="Calibri"/>
          <w:b/>
          <w:bCs/>
          <w:color w:val="1F3864"/>
          <w:sz w:val="30"/>
          <w:szCs w:val="30"/>
        </w:rPr>
        <w:t xml:space="preserve">11. Success Metrics</w:t>
      </w:r>
    </w:p>
    <w:p>
      <w:pPr>
        <w:spacing w:after="160" w:line="276"/>
      </w:pPr>
      <w:r>
        <w:rPr>
          <w:rFonts w:ascii="Calibri" w:cs="Calibri" w:eastAsia="Calibri" w:hAnsi="Calibri"/>
          <w:i w:val="false"/>
          <w:iCs w:val="false"/>
          <w:color w:val="222222"/>
          <w:sz w:val="21"/>
          <w:szCs w:val="21"/>
        </w:rPr>
        <w:t xml:space="preserve">Success is measured across accuracy, performance, adoption, and governance dimensions. Targets below are proposed baselines for stakeholder review and can be tuned once production usage data is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182"/>
        <w:gridCol w:w="1872"/>
        <w:gridCol w:w="2434"/>
      </w:tblGrid>
      <w:tr>
        <w:trPr>
          <w:tblHeader/>
        </w:trPr>
        <w:tc>
          <w:tcPr>
            <w:tcW w:type="dxa" w:w="1872"/>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Metric</w:t>
            </w:r>
          </w:p>
        </w:tc>
        <w:tc>
          <w:tcPr>
            <w:tcW w:type="dxa" w:w="3182"/>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Definition</w:t>
            </w:r>
          </w:p>
        </w:tc>
        <w:tc>
          <w:tcPr>
            <w:tcW w:type="dxa" w:w="1872"/>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Target</w:t>
            </w:r>
          </w:p>
        </w:tc>
        <w:tc>
          <w:tcPr>
            <w:tcW w:type="dxa" w:w="2434"/>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Measurement Method</w:t>
            </w:r>
          </w:p>
        </w:tc>
      </w:tr>
      <w:tr>
        <w:tc>
          <w:tcPr>
            <w:tcW w:type="dxa" w:w="187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First-attempt SQL accuracy</w:t>
            </w:r>
          </w:p>
        </w:tc>
        <w:tc>
          <w:tcPr>
            <w:tcW w:type="dxa" w:w="318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Share of natural-language questions that produce a correct, executable SQL query on the first attempt</w:t>
            </w:r>
          </w:p>
        </w:tc>
        <w:tc>
          <w:tcPr>
            <w:tcW w:type="dxa" w:w="187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 85%</w:t>
            </w:r>
          </w:p>
        </w:tc>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Automated regression suite of representative questions, logged pass/fail per run</w:t>
            </w:r>
          </w:p>
        </w:tc>
      </w:tr>
      <w:tr>
        <w:tc>
          <w:tcPr>
            <w:tcW w:type="dxa" w:w="187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Average response time</w:t>
            </w:r>
          </w:p>
        </w:tc>
        <w:tc>
          <w:tcPr>
            <w:tcW w:type="dxa" w:w="318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Time from question submission to display of results and AI-generated insights</w:t>
            </w:r>
          </w:p>
        </w:tc>
        <w:tc>
          <w:tcPr>
            <w:tcW w:type="dxa" w:w="187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 3 seconds (per NFR-2)</w:t>
            </w:r>
          </w:p>
        </w:tc>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Backend timing instrumentation on production traffic</w:t>
            </w:r>
          </w:p>
        </w:tc>
      </w:tr>
      <w:tr>
        <w:tc>
          <w:tcPr>
            <w:tcW w:type="dxa" w:w="187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Ad-hoc SQL request reduction</w:t>
            </w:r>
          </w:p>
        </w:tc>
        <w:tc>
          <w:tcPr>
            <w:tcW w:type="dxa" w:w="318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Decrease in manual SQL requests directed at engineering or analytics teams</w:t>
            </w:r>
          </w:p>
        </w:tc>
        <w:tc>
          <w:tcPr>
            <w:tcW w:type="dxa" w:w="187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 50% within first quarter post-launch</w:t>
            </w:r>
          </w:p>
        </w:tc>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Comparison of support/ticket volume before and after rollout</w:t>
            </w:r>
          </w:p>
        </w:tc>
      </w:tr>
      <w:tr>
        <w:tc>
          <w:tcPr>
            <w:tcW w:type="dxa" w:w="187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Admin CRUD success rate</w:t>
            </w:r>
          </w:p>
        </w:tc>
        <w:tc>
          <w:tcPr>
            <w:tcW w:type="dxa" w:w="318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Share of natural-language administrative CRUD operations executed correctly without manual intervention</w:t>
            </w:r>
          </w:p>
        </w:tc>
        <w:tc>
          <w:tcPr>
            <w:tcW w:type="dxa" w:w="187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 95%</w:t>
            </w:r>
          </w:p>
        </w:tc>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Audit log review of admin-issued CRUD operations</w:t>
            </w:r>
          </w:p>
        </w:tc>
      </w:tr>
      <w:tr>
        <w:tc>
          <w:tcPr>
            <w:tcW w:type="dxa" w:w="187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User adoption</w:t>
            </w:r>
          </w:p>
        </w:tc>
        <w:tc>
          <w:tcPr>
            <w:tcW w:type="dxa" w:w="318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Active weekly usage among the target non-technical staff population</w:t>
            </w:r>
          </w:p>
        </w:tc>
        <w:tc>
          <w:tcPr>
            <w:tcW w:type="dxa" w:w="1872"/>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 70% of target group</w:t>
            </w:r>
          </w:p>
        </w:tc>
        <w:tc>
          <w:tcPr>
            <w:tcW w:type="dxa" w:w="2434"/>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Login and query activity from the audit log</w:t>
            </w:r>
          </w:p>
        </w:tc>
      </w:tr>
      <w:tr>
        <w:tc>
          <w:tcPr>
            <w:tcW w:type="dxa" w:w="187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System availability</w:t>
            </w:r>
          </w:p>
        </w:tc>
        <w:tc>
          <w:tcPr>
            <w:tcW w:type="dxa" w:w="318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Uptime of the on-premises service during business hours</w:t>
            </w:r>
          </w:p>
        </w:tc>
        <w:tc>
          <w:tcPr>
            <w:tcW w:type="dxa" w:w="1872"/>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 99%</w:t>
            </w:r>
          </w:p>
        </w:tc>
        <w:tc>
          <w:tcPr>
            <w:tcW w:type="dxa" w:w="2434"/>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Infrastructure and application monitoring</w:t>
            </w:r>
          </w:p>
        </w:tc>
      </w:tr>
    </w:tbl>
    <w:p>
      <w:pPr>
        <w:pStyle w:val="Heading1"/>
        <w:pBdr>
          <w:bottom w:val="single" w:color="1F3864" w:sz="8" w:space="4"/>
        </w:pBdr>
        <w:spacing w:after="200" w:before="360"/>
      </w:pPr>
      <w:r>
        <w:rPr>
          <w:rFonts w:ascii="Calibri" w:cs="Calibri" w:eastAsia="Calibri" w:hAnsi="Calibri"/>
          <w:b/>
          <w:bCs/>
          <w:color w:val="1F3864"/>
          <w:sz w:val="30"/>
          <w:szCs w:val="30"/>
        </w:rPr>
        <w:t xml:space="preserve">12. Key Terms &amp;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Term</w:t>
            </w:r>
          </w:p>
        </w:tc>
        <w:tc>
          <w:tcPr>
            <w:tcW w:type="dxa" w:w="7301"/>
            <w:tcBorders>
              <w:top w:val="single" w:color="B7C6DE" w:sz="4"/>
              <w:left w:val="single" w:color="B7C6DE" w:sz="4"/>
              <w:bottom w:val="single" w:color="B7C6DE" w:sz="4"/>
              <w:right w:val="single" w:color="B7C6DE" w:sz="4"/>
            </w:tcBorders>
            <w:shd w:fill="1F3864"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Definition</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LLM</w:t>
            </w:r>
          </w:p>
        </w:tc>
        <w:tc>
          <w:tcPr>
            <w:tcW w:type="dxa" w:w="730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Large Language Model — the AI model that interprets natural-language questions and drafts SQL.</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NL-to-SQL</w:t>
            </w:r>
          </w:p>
        </w:tc>
        <w:tc>
          <w:tcPr>
            <w:tcW w:type="dxa" w:w="730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Natural Language to SQL — the task of translating a plain-English question into an executable SQL query.</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RBAC</w:t>
            </w:r>
          </w:p>
        </w:tc>
        <w:tc>
          <w:tcPr>
            <w:tcW w:type="dxa" w:w="730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Role-Based Access Control — restricts what a user can do based on their assigned role (standard user vs. administrator).</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JWT</w:t>
            </w:r>
          </w:p>
        </w:tc>
        <w:tc>
          <w:tcPr>
            <w:tcW w:type="dxa" w:w="730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JSON Web Token — a signed token format used here for stateless, custom session authentication.</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CRUD</w:t>
            </w:r>
          </w:p>
        </w:tc>
        <w:tc>
          <w:tcPr>
            <w:tcW w:type="dxa" w:w="730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Create, Read, Update, Delete — the four basic database operations; INSERT/UPDATE/DELETE are restricted to administrators.</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FR / NFR</w:t>
            </w:r>
          </w:p>
        </w:tc>
        <w:tc>
          <w:tcPr>
            <w:tcW w:type="dxa" w:w="730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Functional Requirement / Non-Functional Requirement — numbered requirement identifiers used in Section 8.</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Guardrail</w:t>
            </w:r>
          </w:p>
        </w:tc>
        <w:tc>
          <w:tcPr>
            <w:tcW w:type="dxa" w:w="730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An automated safety check (e.g., row limits, SELECT-only restriction) that constrains what a generated query can do.</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Schema-aware prompting</w:t>
            </w:r>
          </w:p>
        </w:tc>
        <w:tc>
          <w:tcPr>
            <w:tcW w:type="dxa" w:w="730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Including the live database schema in the prompt sent to the LLM so generated SQL matches real tables and columns.</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Audit trail</w:t>
            </w:r>
          </w:p>
        </w:tc>
        <w:tc>
          <w:tcPr>
            <w:tcW w:type="dxa" w:w="730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 chronological log of every query, user identity, and timestamp, retained for governance and compliance review.</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Ollama</w:t>
            </w:r>
          </w:p>
        </w:tc>
        <w:tc>
          <w:tcPr>
            <w:tcW w:type="dxa" w:w="730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An open-source runtime used to host and serve the LLM locally for on-premises inference.</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FastAPI</w:t>
            </w:r>
          </w:p>
        </w:tc>
        <w:tc>
          <w:tcPr>
            <w:tcW w:type="dxa" w:w="730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 Python web framework used for the backend API, prompt orchestration, and query validation.</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Recharts</w:t>
            </w:r>
          </w:p>
        </w:tc>
        <w:tc>
          <w:tcPr>
            <w:tcW w:type="dxa" w:w="730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A React charting library used to auto-generate visualizations from query results.</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Qwen2.5-Coder</w:t>
            </w:r>
          </w:p>
        </w:tc>
        <w:tc>
          <w:tcPr>
            <w:tcW w:type="dxa" w:w="730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The primary open-source, Apache 2.0-licensed language model used for SQL generation.</w:t>
            </w:r>
          </w:p>
        </w:tc>
      </w:tr>
      <w:tr>
        <w:tc>
          <w:tcPr>
            <w:tcW w:type="dxa" w:w="2059"/>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VRAM</w:t>
            </w:r>
          </w:p>
        </w:tc>
        <w:tc>
          <w:tcPr>
            <w:tcW w:type="dxa" w:w="7301"/>
            <w:tcBorders>
              <w:top w:val="single" w:color="B7C6DE" w:sz="4"/>
              <w:left w:val="single" w:color="B7C6DE" w:sz="4"/>
              <w:bottom w:val="single" w:color="B7C6DE" w:sz="4"/>
              <w:right w:val="single" w:color="B7C6DE" w:sz="4"/>
            </w:tcBorders>
            <w:shd w:fill="E9EEF6" w:val="clear"/>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Video RAM — GPU memory capacity; relevant to sizing the model-hosting hardware.</w:t>
            </w:r>
          </w:p>
        </w:tc>
      </w:tr>
      <w:tr>
        <w:tc>
          <w:tcPr>
            <w:tcW w:type="dxa" w:w="2059"/>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On-premises</w:t>
            </w:r>
          </w:p>
        </w:tc>
        <w:tc>
          <w:tcPr>
            <w:tcW w:type="dxa" w:w="7301"/>
            <w:tcBorders>
              <w:top w:val="single" w:color="B7C6DE" w:sz="4"/>
              <w:left w:val="single" w:color="B7C6DE" w:sz="4"/>
              <w:bottom w:val="single" w:color="B7C6DE" w:sz="4"/>
              <w:right w:val="single" w:color="B7C6DE" w:sz="4"/>
            </w:tcBorders>
            <w:tcMar>
              <w:top w:type="dxa" w:w="90"/>
              <w:left w:type="dxa" w:w="120"/>
              <w:bottom w:type="dxa" w:w="90"/>
              <w:right w:type="dxa" w:w="120"/>
            </w:tcMar>
            <w:vAlign w:val="center"/>
          </w:tcPr>
          <w:p>
            <w:r>
              <w:rPr>
                <w:rFonts w:ascii="Calibri" w:cs="Calibri" w:eastAsia="Calibri" w:hAnsi="Calibri"/>
                <w:b w:val="false"/>
                <w:bCs w:val="false"/>
                <w:color w:val="222222"/>
                <w:sz w:val="20"/>
                <w:szCs w:val="20"/>
              </w:rPr>
              <w:t xml:space="preserve">Deployed and operated within the organization's own infrastructure rather than a third-party cloud.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4444"/>
        <w:sz w:val="16"/>
        <w:szCs w:val="16"/>
      </w:rPr>
      <w:t xml:space="preserve">Page </w:t>
    </w:r>
    <w:r>
      <w:rPr>
        <w:rFonts w:ascii="Calibri" w:cs="Calibri" w:eastAsia="Calibri" w:hAnsi="Calibri"/>
        <w:color w:val="444444"/>
        <w:sz w:val="16"/>
        <w:szCs w:val="16"/>
      </w:rPr>
      <w:fldChar w:fldCharType="begin"/>
      <w:instrText xml:space="preserve">PAGE</w:instrText>
      <w:fldChar w:fldCharType="separate"/>
      <w:fldChar w:fldCharType="end"/>
    </w:r>
    <w:r>
      <w:rPr>
        <w:rFonts w:ascii="Calibri" w:cs="Calibri" w:eastAsia="Calibri" w:hAnsi="Calibri"/>
        <w:color w:val="444444"/>
        <w:sz w:val="16"/>
        <w:szCs w:val="16"/>
      </w:rPr>
      <w:t xml:space="preserve"> of </w:t>
    </w:r>
    <w:r>
      <w:rPr>
        <w:rFonts w:ascii="Calibri" w:cs="Calibri" w:eastAsia="Calibri" w:hAnsi="Calibri"/>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6DE" w:sz="4" w:space="4"/>
      </w:pBdr>
      <w:jc w:val="right"/>
    </w:pPr>
    <w:r>
      <w:rPr>
        <w:rFonts w:ascii="Calibri" w:cs="Calibri" w:eastAsia="Calibri" w:hAnsi="Calibri"/>
        <w:color w:val="444444"/>
        <w:sz w:val="16"/>
        <w:szCs w:val="16"/>
      </w:rPr>
      <w:t xml:space="preserve">NL-to-SQL Query Assistant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1389d8820ab2174b93e7e712840383fd5c327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2026-07-07T14:45:12.739Z</dcterms:created>
  <dcterms:modified xsi:type="dcterms:W3CDTF">2026-07-07T14:45:12.739Z</dcterms:modified>
</cp:coreProperties>
</file>

<file path=docProps/custom.xml><?xml version="1.0" encoding="utf-8"?>
<Properties xmlns="http://schemas.openxmlformats.org/officeDocument/2006/custom-properties" xmlns:vt="http://schemas.openxmlformats.org/officeDocument/2006/docPropsVTypes"/>
</file>