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2563EB"/>
          <w:spacing w:val="30"/>
          <w:sz w:val="22"/>
          <w:szCs w:val="22"/>
        </w:rPr>
        <w:t xml:space="preserve">PROJECT SPECIFICATION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color w:val="1F2937"/>
          <w:sz w:val="56"/>
          <w:szCs w:val="56"/>
        </w:rPr>
        <w:t xml:space="preserve">Natural Language to SQL</w:t>
      </w:r>
    </w:p>
    <w:p>
      <w:pPr>
        <w:spacing w:after="400" w:before="40"/>
        <w:jc w:val="center"/>
      </w:pPr>
      <w:r>
        <w:rPr>
          <w:rFonts w:ascii="Calibri" w:cs="Calibri" w:eastAsia="Calibri" w:hAnsi="Calibri"/>
          <w:b/>
          <w:bCs/>
          <w:color w:val="1F2937"/>
          <w:sz w:val="56"/>
          <w:szCs w:val="56"/>
        </w:rPr>
        <w:t xml:space="preserve">Query Assistant</w:t>
      </w:r>
    </w:p>
    <w:p>
      <w:pPr>
        <w:pBdr>
          <w:top w:val="single" w:color="D1D5DB" w:sz="4" w:space="12"/>
        </w:pBdr>
        <w:spacing w:after="4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An on-premises, open-source AI use case for conversational data access</w:t>
      </w:r>
    </w:p>
    <w:p>
      <w:pPr>
        <w:spacing w:before="2200"/>
      </w:pPr>
    </w:p>
    <w:p>
      <w:pPr>
        <w:spacing w:after="4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Version 1.0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July 2026</w:t>
      </w:r>
    </w:p>
    <w:p>
      <w:pPr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Prepared for internal review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563EB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563EB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1. Executive Summary</w:t>
      </w:r>
    </w:p>
    <w:p>
      <w:pPr>
        <w:spacing w:after="16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This document specifies a Natural Language to SQL Query Assistant: an internal tool that lets non-technical staff ask questions about company data in plain English and receive accurate results without writing SQL. The assistant uses an open-source large language model to translate a question into a SQL query, executes that query against a database, and returns results alongside the generated SQL for transparency.</w:t>
      </w:r>
    </w:p>
    <w:p>
      <w:pPr>
        <w:spacing w:after="16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The solution is built entirely on open-source components and is designed to run on-premises, so no data or query content leaves the organization's network. It doubles as a practical demonstration of the organization's broader open-source AI capability, alongside the existing OpenTranslate AI initiative.</w:t>
      </w:r>
    </w:p>
    <w:p>
      <w:pPr>
        <w:pBdr>
          <w:left w:val="single" w:color="2563EB" w:sz="24" w:space="8"/>
        </w:pBdr>
        <w:shd w:fill="EEF2F7" w:val="clear"/>
        <w:spacing w:after="20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Why this use case: </w:t>
      </w:r>
      <w:r>
        <w:rPr>
          <w:rFonts w:ascii="Calibri" w:cs="Calibri" w:eastAsia="Calibri" w:hAnsi="Calibri"/>
          <w:sz w:val="21"/>
          <w:szCs w:val="21"/>
        </w:rPr>
        <w:t xml:space="preserve">it is one of the fastest ways to demonstrate real LLM capability alongside genuine engineering — a working backend, a live database, and a polished frontend — while remaining scoped enough to build and demo within a short timeline.</w:t>
      </w:r>
    </w:p>
    <w:p>
      <w:pPr>
        <w:pStyle w:val="Heading1"/>
        <w:pBdr>
          <w:bottom w:val="single" w:color="2563EB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2.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Reduce the time non-technical stakeholders spend waiting on ad-hoc SQL requests from engineering or analytics teams.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Demonstrate a production-style pattern for applying open-source LLMs to internal data access.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Keep all data, queries, and model inference on-premises for security and compliance.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Establish a reusable architecture (model serving, backend, caching, auth) that other internal AI use cases can build on.</w:t>
      </w:r>
    </w:p>
    <w:p>
      <w:pPr>
        <w:pStyle w:val="Heading1"/>
        <w:pBdr>
          <w:bottom w:val="single" w:color="2563EB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3. Use Case Description</w:t>
      </w:r>
    </w:p>
    <w:p>
      <w:pPr>
        <w:spacing w:after="16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 user opens the assistant and types a question such as “Top 5 customers by revenue” or “Which orders were placed last month?” The system: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Interprets the question using the live database schema as context.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Generates a corresponding SQL query using an open-source language model.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Validates the query is read-only and safely bounded (e.g. row limits).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Executes it against the target database.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Returns the results in a table, with the generated SQL shown alongside for transparency and trust.</w:t>
      </w:r>
    </w:p>
    <w:p>
      <w:pPr>
        <w:spacing w:after="16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The same interaction pattern extends naturally to follow-up questions, multilingual input, and role-based data access, as detailed in Section 7.</w:t>
      </w:r>
    </w:p>
    <w:p>
      <w:pPr>
        <w:pStyle w:val="Heading1"/>
        <w:pBdr>
          <w:bottom w:val="single" w:color="2563EB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4. User Workflow Example</w:t>
      </w:r>
    </w:p>
    <w:p>
      <w:pPr>
        <w:spacing w:after="16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The steps below walk through a single interaction end to end, from the moment a user types a question to the moment they see results.</w:t>
      </w:r>
    </w:p>
    <w:p>
      <w:pPr>
        <w:spacing w:after="220" w:before="100"/>
        <w:jc w:val="center"/>
      </w:pPr>
      <w:r>
        <w:drawing>
          <wp:inline distT="0" distB="0" distL="0" distR="0">
            <wp:extent cx="5905500" cy="1352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Worked Example</w:t>
      </w:r>
    </w:p>
    <w:p>
      <w:pPr>
        <w:spacing w:after="16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Scenario: a sales operations manager wants to know which customers to prioritize for renewal outreach this quarter.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0"/>
      </w:tblGrid>
      <w:tr>
        <w:trPr>
          <w:tblHeader/>
        </w:trPr>
        <w:tc>
          <w:tcPr>
            <w:tcW w:type="dxa" w:w="190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784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</w:tr>
      <w:tr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1. Ask</w:t>
            </w:r>
          </w:p>
        </w:tc>
        <w:tc>
          <w:tcPr>
            <w:tcW w:type="dxa" w:w="7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user types: “Top 5 customers by revenue.” No SQL knowledge required.</w:t>
            </w:r>
          </w:p>
        </w:tc>
      </w:tr>
      <w:tr>
        <w:tc>
          <w:tcPr>
            <w:tcW w:type="dxa" w:w="19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2. Interpret</w:t>
            </w:r>
          </w:p>
        </w:tc>
        <w:tc>
          <w:tcPr>
            <w:tcW w:type="dxa" w:w="78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backend sends the question to the model along with the live schema (customers, orders, order_items, products). The model drafts a SQL query joining all four tables and aggregating revenue per customer.</w:t>
            </w:r>
          </w:p>
        </w:tc>
      </w:tr>
      <w:tr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3. Validate</w:t>
            </w:r>
          </w:p>
        </w:tc>
        <w:tc>
          <w:tcPr>
            <w:tcW w:type="dxa" w:w="7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guardrail layer confirms the query is a single read-only SELECT statement and adds a row limit, since none was specified.</w:t>
            </w:r>
          </w:p>
        </w:tc>
      </w:tr>
      <w:tr>
        <w:tc>
          <w:tcPr>
            <w:tcW w:type="dxa" w:w="19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4. Execute</w:t>
            </w:r>
          </w:p>
        </w:tc>
        <w:tc>
          <w:tcPr>
            <w:tcW w:type="dxa" w:w="78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query runs against the database and returns five rows in under a second.</w:t>
            </w:r>
          </w:p>
        </w:tc>
      </w:tr>
      <w:tr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5. Review</w:t>
            </w:r>
          </w:p>
        </w:tc>
        <w:tc>
          <w:tcPr>
            <w:tcW w:type="dxa" w:w="7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results table displays customer names and total revenue, ranked highest to lowest. The generated SQL is shown alongside so the user (or a reviewing analyst) can verify exactly what was run.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i/>
          <w:iCs/>
          <w:color w:val="4B5563"/>
          <w:sz w:val="21"/>
          <w:szCs w:val="21"/>
        </w:rPr>
        <w:t xml:space="preserve">Generated SQL for this example:</w:t>
      </w:r>
    </w:p>
    <w:p>
      <w:pPr>
        <w:pBdr>
          <w:top w:val="single" w:color="D1D5DB" w:sz="4" w:space="6"/>
          <w:bottom w:val="single" w:color="D1D5DB" w:sz="4" w:space="6"/>
          <w:left w:val="single" w:color="D1D5DB" w:sz="4" w:space="6"/>
          <w:right w:val="single" w:color="D1D5DB" w:sz="4" w:space="6"/>
        </w:pBdr>
        <w:shd w:fill="EEF2F7" w:val="clear"/>
        <w:spacing w:after="160" w:before="80"/>
      </w:pPr>
      <w:r>
        <w:rPr>
          <w:rFonts w:ascii="Consolas" w:cs="Consolas" w:eastAsia="Consolas" w:hAnsi="Consolas"/>
          <w:color w:val="1E40AF"/>
          <w:sz w:val="19"/>
          <w:szCs w:val="19"/>
        </w:rPr>
        <w:t xml:space="preserve">SELECT c.name, SUM(oi.quantity * p.price) AS revenue</w:t>
      </w:r>
      <w:r>
        <w:rPr>
          <w:rFonts w:ascii="Consolas" w:cs="Consolas" w:eastAsia="Consolas" w:hAnsi="Consolas"/>
          <w:color w:val="1E40AF"/>
          <w:sz w:val="19"/>
          <w:szCs w:val="19"/>
        </w:rPr>
        <w:br/>
        <w:t xml:space="preserve">FROM customers c</w:t>
      </w:r>
      <w:r>
        <w:rPr>
          <w:rFonts w:ascii="Consolas" w:cs="Consolas" w:eastAsia="Consolas" w:hAnsi="Consolas"/>
          <w:color w:val="1E40AF"/>
          <w:sz w:val="19"/>
          <w:szCs w:val="19"/>
        </w:rPr>
        <w:br/>
        <w:t xml:space="preserve">JOIN orders o ON o.customer_id = c.id</w:t>
      </w:r>
      <w:r>
        <w:rPr>
          <w:rFonts w:ascii="Consolas" w:cs="Consolas" w:eastAsia="Consolas" w:hAnsi="Consolas"/>
          <w:color w:val="1E40AF"/>
          <w:sz w:val="19"/>
          <w:szCs w:val="19"/>
        </w:rPr>
        <w:br/>
        <w:t xml:space="preserve">JOIN order_items oi ON oi.order_id = o.id</w:t>
      </w:r>
      <w:r>
        <w:rPr>
          <w:rFonts w:ascii="Consolas" w:cs="Consolas" w:eastAsia="Consolas" w:hAnsi="Consolas"/>
          <w:color w:val="1E40AF"/>
          <w:sz w:val="19"/>
          <w:szCs w:val="19"/>
        </w:rPr>
        <w:br/>
        <w:t xml:space="preserve">JOIN products p ON p.id = oi.product_id</w:t>
      </w:r>
      <w:r>
        <w:rPr>
          <w:rFonts w:ascii="Consolas" w:cs="Consolas" w:eastAsia="Consolas" w:hAnsi="Consolas"/>
          <w:color w:val="1E40AF"/>
          <w:sz w:val="19"/>
          <w:szCs w:val="19"/>
        </w:rPr>
        <w:br/>
        <w:t xml:space="preserve">GROUP BY c.name</w:t>
      </w:r>
      <w:r>
        <w:rPr>
          <w:rFonts w:ascii="Consolas" w:cs="Consolas" w:eastAsia="Consolas" w:hAnsi="Consolas"/>
          <w:color w:val="1E40AF"/>
          <w:sz w:val="19"/>
          <w:szCs w:val="19"/>
        </w:rPr>
        <w:br/>
        <w:t xml:space="preserve">ORDER BY revenue DESC</w:t>
      </w:r>
      <w:r>
        <w:rPr>
          <w:rFonts w:ascii="Consolas" w:cs="Consolas" w:eastAsia="Consolas" w:hAnsi="Consolas"/>
          <w:color w:val="1E40AF"/>
          <w:sz w:val="19"/>
          <w:szCs w:val="19"/>
        </w:rPr>
        <w:br/>
        <w:t xml:space="preserve">LIMIT 5;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0"/>
        <w:gridCol w:w="4870"/>
      </w:tblGrid>
      <w:tr>
        <w:trPr>
          <w:tblHeader/>
        </w:trPr>
        <w:tc>
          <w:tcPr>
            <w:tcW w:type="dxa" w:w="487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Customer</w:t>
            </w:r>
          </w:p>
        </w:tc>
        <w:tc>
          <w:tcPr>
            <w:tcW w:type="dxa" w:w="487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Revenue</w:t>
            </w:r>
          </w:p>
        </w:tc>
      </w:tr>
      <w:tr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Fatima Khan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$48,220</w:t>
            </w:r>
          </w:p>
        </w:tc>
      </w:tr>
      <w:tr>
        <w:tc>
          <w:tcPr>
            <w:tcW w:type="dxa" w:w="487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Priya Nair</w:t>
            </w:r>
          </w:p>
        </w:tc>
        <w:tc>
          <w:tcPr>
            <w:tcW w:type="dxa" w:w="487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$41,860</w:t>
            </w:r>
          </w:p>
        </w:tc>
      </w:tr>
      <w:tr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Lucas Martin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$37,510</w:t>
            </w:r>
          </w:p>
        </w:tc>
      </w:tr>
      <w:tr>
        <w:tc>
          <w:tcPr>
            <w:tcW w:type="dxa" w:w="487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Wei Zhang</w:t>
            </w:r>
          </w:p>
        </w:tc>
        <w:tc>
          <w:tcPr>
            <w:tcW w:type="dxa" w:w="487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$29,940</w:t>
            </w:r>
          </w:p>
        </w:tc>
      </w:tr>
      <w:tr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Arjun Rao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$22,115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i/>
          <w:iCs/>
          <w:color w:val="4B5563"/>
          <w:sz w:val="21"/>
          <w:szCs w:val="21"/>
        </w:rPr>
        <w:t xml:space="preserve">The manager now has a ranked list to act on, without filing a request to the data team or writing a single line of SQL.</w:t>
      </w:r>
    </w:p>
    <w:p>
      <w:pPr>
        <w:pStyle w:val="Heading1"/>
        <w:pBdr>
          <w:bottom w:val="single" w:color="2563EB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5. System Architecture</w:t>
      </w:r>
    </w:p>
    <w:p>
      <w:pPr>
        <w:spacing w:after="16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The system follows a standard three-tier architecture with a model-serving layer added for LLM inference. The diagram below shows how a question flows from the frontend through the backend to the model and data layers, and how platform services support the request.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740"/>
      </w:tblGrid>
      <w:tr>
        <w:trPr>
          <w:tblHeader/>
        </w:trPr>
        <w:tc>
          <w:tcPr>
            <w:tcW w:type="dxa" w:w="240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60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474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Frontend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React</w:t>
            </w:r>
          </w:p>
        </w:tc>
        <w:tc>
          <w:tcPr>
            <w:tcW w:type="dxa" w:w="47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Question input, results table, SQL display, schema explorer, history</w:t>
            </w:r>
          </w:p>
        </w:tc>
      </w:tr>
      <w:tr>
        <w:tc>
          <w:tcPr>
            <w:tcW w:type="dxa" w:w="24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Backend</w:t>
            </w:r>
          </w:p>
        </w:tc>
        <w:tc>
          <w:tcPr>
            <w:tcW w:type="dxa" w:w="26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FastAPI (Python)</w:t>
            </w:r>
          </w:p>
        </w:tc>
        <w:tc>
          <w:tcPr>
            <w:tcW w:type="dxa" w:w="47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Prompt construction, orchestration, query validation, auth, caching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Model serving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Ollama</w:t>
            </w:r>
          </w:p>
        </w:tc>
        <w:tc>
          <w:tcPr>
            <w:tcW w:type="dxa" w:w="47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Hosts and serves the open-source LLM for local inference</w:t>
            </w:r>
          </w:p>
        </w:tc>
      </w:tr>
      <w:tr>
        <w:tc>
          <w:tcPr>
            <w:tcW w:type="dxa" w:w="24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Database</w:t>
            </w:r>
          </w:p>
        </w:tc>
        <w:tc>
          <w:tcPr>
            <w:tcW w:type="dxa" w:w="26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SQLite → MSSQL</w:t>
            </w:r>
          </w:p>
        </w:tc>
        <w:tc>
          <w:tcPr>
            <w:tcW w:type="dxa" w:w="47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Stores business data (dummy dataset for demo; production-ready path to Microsoft SQL Server)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Cache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Redis</w:t>
            </w:r>
          </w:p>
        </w:tc>
        <w:tc>
          <w:tcPr>
            <w:tcW w:type="dxa" w:w="47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Caches repeated questions to reduce redundant model calls</w:t>
            </w:r>
          </w:p>
        </w:tc>
      </w:tr>
      <w:tr>
        <w:tc>
          <w:tcPr>
            <w:tcW w:type="dxa" w:w="24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Identity</w:t>
            </w:r>
          </w:p>
        </w:tc>
        <w:tc>
          <w:tcPr>
            <w:tcW w:type="dxa" w:w="26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Firebase Authentication</w:t>
            </w:r>
          </w:p>
        </w:tc>
        <w:tc>
          <w:tcPr>
            <w:tcW w:type="dxa" w:w="47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Authentication and role-based access control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i/>
          <w:iCs/>
          <w:color w:val="4B5563"/>
          <w:sz w:val="21"/>
          <w:szCs w:val="21"/>
        </w:rPr>
        <w:t xml:space="preserve">Request flow: the frontend sends the user's question to the backend, which builds a schema-aware prompt, calls the LLM via Ollama, validates and executes the resulting SQL against the database, and returns results plus the SQL text to the frontend for display.</w:t>
      </w:r>
    </w:p>
    <w:p>
      <w:pPr>
        <w:pStyle w:val="Heading1"/>
        <w:pBdr>
          <w:bottom w:val="single" w:color="2563EB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6. Technology Stack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340"/>
      </w:tblGrid>
      <w:tr>
        <w:trPr>
          <w:tblHeader/>
        </w:trPr>
        <w:tc>
          <w:tcPr>
            <w:tcW w:type="dxa" w:w="240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300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Choice</w:t>
            </w:r>
          </w:p>
        </w:tc>
        <w:tc>
          <w:tcPr>
            <w:tcW w:type="dxa" w:w="434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Language model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Qwen2.5-Coder (7B / 14B)</w:t>
            </w:r>
          </w:p>
        </w:tc>
        <w:tc>
          <w:tcPr>
            <w:tcW w:type="dxa" w:w="4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Strong reasoning and code/SQL generation; Apache 2.0 licensed</w:t>
            </w:r>
          </w:p>
        </w:tc>
      </w:tr>
      <w:tr>
        <w:tc>
          <w:tcPr>
            <w:tcW w:type="dxa" w:w="24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Alternative model</w:t>
            </w:r>
          </w:p>
        </w:tc>
        <w:tc>
          <w:tcPr>
            <w:tcW w:type="dxa" w:w="30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SQLCoder (Defog)</w:t>
            </w:r>
          </w:p>
        </w:tc>
        <w:tc>
          <w:tcPr>
            <w:tcW w:type="dxa" w:w="43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Purpose-built for text-to-SQL; strong choice if scope stays SQL-only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Fallback model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Mistral-7B-Instruct</w:t>
            </w:r>
          </w:p>
        </w:tc>
        <w:tc>
          <w:tcPr>
            <w:tcW w:type="dxa" w:w="4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General-purpose, permissively licensed backup option</w:t>
            </w:r>
          </w:p>
        </w:tc>
      </w:tr>
      <w:tr>
        <w:tc>
          <w:tcPr>
            <w:tcW w:type="dxa" w:w="24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Backend framework</w:t>
            </w:r>
          </w:p>
        </w:tc>
        <w:tc>
          <w:tcPr>
            <w:tcW w:type="dxa" w:w="30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FastAPI</w:t>
            </w:r>
          </w:p>
        </w:tc>
        <w:tc>
          <w:tcPr>
            <w:tcW w:type="dxa" w:w="43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Lightweight, async-friendly, strong typing via Pydantic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Frontend framework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React</w:t>
            </w:r>
          </w:p>
        </w:tc>
        <w:tc>
          <w:tcPr>
            <w:tcW w:type="dxa" w:w="4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Component-based UI, wide team familiarity</w:t>
            </w:r>
          </w:p>
        </w:tc>
      </w:tr>
      <w:tr>
        <w:tc>
          <w:tcPr>
            <w:tcW w:type="dxa" w:w="24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Database</w:t>
            </w:r>
          </w:p>
        </w:tc>
        <w:tc>
          <w:tcPr>
            <w:tcW w:type="dxa" w:w="30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SQLite (demo) / MSSQL (production)</w:t>
            </w:r>
          </w:p>
        </w:tc>
        <w:tc>
          <w:tcPr>
            <w:tcW w:type="dxa" w:w="43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Easy local demo path with a clear production upgrade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Model serving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Ollama / vLLM</w:t>
            </w:r>
          </w:p>
        </w:tc>
        <w:tc>
          <w:tcPr>
            <w:tcW w:type="dxa" w:w="4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Ollama for simplicity; vLLM if throughput becomes a priority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i/>
          <w:iCs/>
          <w:color w:val="4B5563"/>
          <w:sz w:val="21"/>
          <w:szCs w:val="21"/>
        </w:rPr>
        <w:t xml:space="preserve">All components are open-source, avoiding proprietary licensing costs and keeping the entire stack deployable within the organization's own infrastructure.</w:t>
      </w:r>
    </w:p>
    <w:p>
      <w:pPr>
        <w:pStyle w:val="Heading1"/>
        <w:pBdr>
          <w:bottom w:val="single" w:color="2563EB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7. Feature Set</w:t>
      </w:r>
    </w:p>
    <w:p>
      <w:pPr>
        <w:spacing w:after="16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Features are grouped into delivery tiers so the core experience is functional early, with additional capability layered in as time allows.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Tier 1 — Core (demo-critical)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Natural language input and SQL generation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Query execution against the database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Results table with generated SQL shown for transparency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Tier 2 — Supporting functionality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Schema-aware prompting and error self-correction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Query history log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Follow-up / conversational context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Read-only guardrails, CSV export, loading states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Tier 3 – 4 — Data handling, trust &amp; safety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Multi-table join support and a schema explorer panel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Sample/suggested questions for new users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Row-limit guards, SQL sanitization, and user feedback capture (👍/👎)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Tier 5 – 6 — UX polish and enterprise readiness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Dark/light mode, editable SQL, voice input, sortable/paginated results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Role-based access control via Firebase Authentication, audit logging, Redis caching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Tier 7 – 8 — Multilingual and stretch goals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Question input and response translation across Hindi, Telugu, Tamil, and French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Auto-suggested charts, multi-turn report building, plain-English SQL explanations</w:t>
      </w:r>
    </w:p>
    <w:p>
      <w:pPr>
        <w:pStyle w:val="Heading1"/>
        <w:pBdr>
          <w:bottom w:val="single" w:color="2563EB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8. Requirements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8.1 Functional Requirements</w:t>
      </w:r>
    </w:p>
    <w:tbl>
      <w:tblPr>
        <w:tblW w:type="dxa" w:w="8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440"/>
      </w:tblGrid>
      <w:tr>
        <w:trPr>
          <w:tblHeader/>
        </w:trPr>
        <w:tc>
          <w:tcPr>
            <w:tcW w:type="dxa" w:w="130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44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FR-1</w:t>
            </w:r>
          </w:p>
        </w:tc>
        <w:tc>
          <w:tcPr>
            <w:tcW w:type="dxa" w:w="7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system shall accept a natural-language question from the user through a web interface.</w:t>
            </w:r>
          </w:p>
        </w:tc>
      </w:tr>
      <w:tr>
        <w:tc>
          <w:tcPr>
            <w:tcW w:type="dxa" w:w="13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FR-2</w:t>
            </w:r>
          </w:p>
        </w:tc>
        <w:tc>
          <w:tcPr>
            <w:tcW w:type="dxa" w:w="74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system shall generate a corresponding SQL query using an open-source language model, informed by the live database schema.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FR-3</w:t>
            </w:r>
          </w:p>
        </w:tc>
        <w:tc>
          <w:tcPr>
            <w:tcW w:type="dxa" w:w="7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system shall reject or strip any generated statement that is not a single read-only SELECT.</w:t>
            </w:r>
          </w:p>
        </w:tc>
      </w:tr>
      <w:tr>
        <w:tc>
          <w:tcPr>
            <w:tcW w:type="dxa" w:w="13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FR-4</w:t>
            </w:r>
          </w:p>
        </w:tc>
        <w:tc>
          <w:tcPr>
            <w:tcW w:type="dxa" w:w="74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system shall automatically apply a row limit to any query that does not specify one.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FR-5</w:t>
            </w:r>
          </w:p>
        </w:tc>
        <w:tc>
          <w:tcPr>
            <w:tcW w:type="dxa" w:w="7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system shall execute the validated query against the configured database and return results.</w:t>
            </w:r>
          </w:p>
        </w:tc>
      </w:tr>
      <w:tr>
        <w:tc>
          <w:tcPr>
            <w:tcW w:type="dxa" w:w="13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FR-6</w:t>
            </w:r>
          </w:p>
        </w:tc>
        <w:tc>
          <w:tcPr>
            <w:tcW w:type="dxa" w:w="74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system shall display the generated SQL alongside the results for transparency.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FR-7</w:t>
            </w:r>
          </w:p>
        </w:tc>
        <w:tc>
          <w:tcPr>
            <w:tcW w:type="dxa" w:w="7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system shall log each question, the generated SQL, and the result count to a query history.</w:t>
            </w:r>
          </w:p>
        </w:tc>
      </w:tr>
      <w:tr>
        <w:tc>
          <w:tcPr>
            <w:tcW w:type="dxa" w:w="13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FR-8</w:t>
            </w:r>
          </w:p>
        </w:tc>
        <w:tc>
          <w:tcPr>
            <w:tcW w:type="dxa" w:w="74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system shall support follow-up questions that reference the previous turn's context.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FR-9</w:t>
            </w:r>
          </w:p>
        </w:tc>
        <w:tc>
          <w:tcPr>
            <w:tcW w:type="dxa" w:w="7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system shall allow authenticated users to export results as CSV.</w:t>
            </w:r>
          </w:p>
        </w:tc>
      </w:tr>
      <w:tr>
        <w:tc>
          <w:tcPr>
            <w:tcW w:type="dxa" w:w="13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FR-10</w:t>
            </w:r>
          </w:p>
        </w:tc>
        <w:tc>
          <w:tcPr>
            <w:tcW w:type="dxa" w:w="74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system shall restrict access to specific tables or columns based on the authenticated user's role.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FR-11</w:t>
            </w:r>
          </w:p>
        </w:tc>
        <w:tc>
          <w:tcPr>
            <w:tcW w:type="dxa" w:w="7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system shall accept questions in Hindi, Telugu, Tamil, or French and translate internally before SQL generation.</w:t>
            </w:r>
          </w:p>
        </w:tc>
      </w:tr>
      <w:tr>
        <w:tc>
          <w:tcPr>
            <w:tcW w:type="dxa" w:w="13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FR-12</w:t>
            </w:r>
          </w:p>
        </w:tc>
        <w:tc>
          <w:tcPr>
            <w:tcW w:type="dxa" w:w="74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system shall capture user feedback (positive/negative) on individual generated queries.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8.2 Non-Functional Requirements</w:t>
      </w:r>
    </w:p>
    <w:tbl>
      <w:tblPr>
        <w:tblW w:type="dxa" w:w="8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440"/>
      </w:tblGrid>
      <w:tr>
        <w:trPr>
          <w:tblHeader/>
        </w:trPr>
        <w:tc>
          <w:tcPr>
            <w:tcW w:type="dxa" w:w="130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44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NFR-1</w:t>
            </w:r>
          </w:p>
        </w:tc>
        <w:tc>
          <w:tcPr>
            <w:tcW w:type="dxa" w:w="7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All model inference and data storage shall remain on-premises; no query content shall be transmitted to external, third-party services.</w:t>
            </w:r>
          </w:p>
        </w:tc>
      </w:tr>
      <w:tr>
        <w:tc>
          <w:tcPr>
            <w:tcW w:type="dxa" w:w="13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NFR-2</w:t>
            </w:r>
          </w:p>
        </w:tc>
        <w:tc>
          <w:tcPr>
            <w:tcW w:type="dxa" w:w="74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Typical queries shall return results within 3 seconds under normal load, excluding first-time model load.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NFR-3</w:t>
            </w:r>
          </w:p>
        </w:tc>
        <w:tc>
          <w:tcPr>
            <w:tcW w:type="dxa" w:w="7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Every executed query shall be recorded in an audit log with user identity and timestamp.</w:t>
            </w:r>
          </w:p>
        </w:tc>
      </w:tr>
      <w:tr>
        <w:tc>
          <w:tcPr>
            <w:tcW w:type="dxa" w:w="13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NFR-4</w:t>
            </w:r>
          </w:p>
        </w:tc>
        <w:tc>
          <w:tcPr>
            <w:tcW w:type="dxa" w:w="74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model-serving layer shall be swappable (e.g. Qwen2.5-Coder to SQLCoder) via configuration, without code changes.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NFR-5</w:t>
            </w:r>
          </w:p>
        </w:tc>
        <w:tc>
          <w:tcPr>
            <w:tcW w:type="dxa" w:w="7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database layer shall support a documented upgrade path from SQLite to MSSQL with no application-layer rework.</w:t>
            </w:r>
          </w:p>
        </w:tc>
      </w:tr>
      <w:tr>
        <w:tc>
          <w:tcPr>
            <w:tcW w:type="dxa" w:w="13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NFR-6</w:t>
            </w:r>
          </w:p>
        </w:tc>
        <w:tc>
          <w:tcPr>
            <w:tcW w:type="dxa" w:w="74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system shall self-correct at most once per query on execution failure before returning an error to the user.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NFR-7</w:t>
            </w:r>
          </w:p>
        </w:tc>
        <w:tc>
          <w:tcPr>
            <w:tcW w:type="dxa" w:w="7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The application shall be deployable within the organization's existing on-premises infrastructure without new external dependencies.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8.3 Environment &amp; Infrastructure Prerequisites</w:t>
      </w:r>
    </w:p>
    <w:tbl>
      <w:tblPr>
        <w:tblW w:type="dxa" w:w="8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340"/>
      </w:tblGrid>
      <w:tr>
        <w:trPr>
          <w:tblHeader/>
        </w:trPr>
        <w:tc>
          <w:tcPr>
            <w:tcW w:type="dxa" w:w="240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34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Minimum Requirement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Model host</w:t>
            </w:r>
          </w:p>
        </w:tc>
        <w:tc>
          <w:tcPr>
            <w:tcW w:type="dxa" w:w="6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GPU with ≥16GB VRAM recommended for 7B–14B models (CPU-only viable for demo at reduced speed)</w:t>
            </w:r>
          </w:p>
        </w:tc>
      </w:tr>
      <w:tr>
        <w:tc>
          <w:tcPr>
            <w:tcW w:type="dxa" w:w="24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App server</w:t>
            </w:r>
          </w:p>
        </w:tc>
        <w:tc>
          <w:tcPr>
            <w:tcW w:type="dxa" w:w="63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4 vCPU / 16GB RAM for backend, frontend, Redis, and dummy database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Software</w:t>
            </w:r>
          </w:p>
        </w:tc>
        <w:tc>
          <w:tcPr>
            <w:tcW w:type="dxa" w:w="6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Python 3.10+, Node.js 18+, Docker, Ollama, Redis, Microsoft SQL Server (production) or SQLite (demo)</w:t>
            </w:r>
          </w:p>
        </w:tc>
      </w:tr>
      <w:tr>
        <w:tc>
          <w:tcPr>
            <w:tcW w:type="dxa" w:w="24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Identity provider</w:t>
            </w:r>
          </w:p>
        </w:tc>
        <w:tc>
          <w:tcPr>
            <w:tcW w:type="dxa" w:w="63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Firebase Authentication project (existing or newly provisioned) for authentication and RBAC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Network</w:t>
            </w:r>
          </w:p>
        </w:tc>
        <w:tc>
          <w:tcPr>
            <w:tcW w:type="dxa" w:w="6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Internal network access only; no outbound calls required at runtime</w:t>
            </w:r>
          </w:p>
        </w:tc>
      </w:tr>
    </w:tbl>
    <w:p>
      <w:pPr>
        <w:pStyle w:val="Heading1"/>
        <w:pBdr>
          <w:bottom w:val="single" w:color="2563EB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9. Demo Data Model</w:t>
      </w:r>
    </w:p>
    <w:p>
      <w:pPr>
        <w:spacing w:after="16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The demonstration uses a small relational dataset representative of common business data, allowing multi-table join questions to be tested meaningfully.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0"/>
      </w:tblGrid>
      <w:tr>
        <w:trPr>
          <w:tblHeader/>
        </w:trPr>
        <w:tc>
          <w:tcPr>
            <w:tcW w:type="dxa" w:w="280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694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customers</w:t>
            </w:r>
          </w:p>
        </w:tc>
        <w:tc>
          <w:tcPr>
            <w:tcW w:type="dxa" w:w="6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id, name, city, signup_date, segment</w:t>
            </w:r>
          </w:p>
        </w:tc>
      </w:tr>
      <w:tr>
        <w:tc>
          <w:tcPr>
            <w:tcW w:type="dxa" w:w="28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products</w:t>
            </w:r>
          </w:p>
        </w:tc>
        <w:tc>
          <w:tcPr>
            <w:tcW w:type="dxa" w:w="69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id, name, category, price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orders</w:t>
            </w:r>
          </w:p>
        </w:tc>
        <w:tc>
          <w:tcPr>
            <w:tcW w:type="dxa" w:w="6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id, customer_id, order_date, status</w:t>
            </w:r>
          </w:p>
        </w:tc>
      </w:tr>
      <w:tr>
        <w:tc>
          <w:tcPr>
            <w:tcW w:type="dxa" w:w="28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order_items</w:t>
            </w:r>
          </w:p>
        </w:tc>
        <w:tc>
          <w:tcPr>
            <w:tcW w:type="dxa" w:w="69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id, order_id, product_id, quantity</w:t>
            </w:r>
          </w:p>
        </w:tc>
      </w:tr>
    </w:tbl>
    <w:p>
      <w:pPr>
        <w:pStyle w:val="Heading1"/>
        <w:pBdr>
          <w:bottom w:val="single" w:color="2563EB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10. Security &amp; Governance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All inference and data storage remain on-premises; no query content is sent to external APIs.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Only SELECT statements are permitted; all generated SQL is validated before execution.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Row limits are automatically enforced to prevent unbounded result sets.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Role-based access via Firebase Authentication restricts which tables and columns a given user can query.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Every query is logged with user identity, timestamp, and executed SQL for audit purposes.</w:t>
      </w:r>
    </w:p>
    <w:p>
      <w:pPr>
        <w:pStyle w:val="Heading1"/>
        <w:pBdr>
          <w:bottom w:val="single" w:color="2563EB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11. Project Timeline</w:t>
      </w:r>
    </w:p>
    <w:p>
      <w:pPr>
        <w:spacing w:after="16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The project is scoped as a six-week effort from kickoff to stakeholder review, structured so a working demo exists early and enterprise-readiness and polish are layered in afterward.</w:t>
      </w:r>
    </w:p>
    <w:p>
      <w:pPr>
        <w:spacing w:after="220" w:before="100"/>
        <w:jc w:val="center"/>
      </w:pPr>
      <w:r>
        <w:drawing>
          <wp:inline distT="0" distB="0" distL="0" distR="0">
            <wp:extent cx="5905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5000"/>
        <w:gridCol w:w="1740"/>
      </w:tblGrid>
      <w:tr>
        <w:trPr>
          <w:tblHeader/>
        </w:trPr>
        <w:tc>
          <w:tcPr>
            <w:tcW w:type="dxa" w:w="130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30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dxa" w:w="500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1740"/>
            <w:shd w:fill="1E40A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Outcome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Phase 1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Weeks 1–2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Core pipeline: input → LLM → SQL → execution → results table</w:t>
            </w:r>
          </w:p>
        </w:tc>
        <w:tc>
          <w:tcPr>
            <w:tcW w:type="dxa" w:w="17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Working end-to-end demo</w:t>
            </w:r>
          </w:p>
        </w:tc>
      </w:tr>
      <w:tr>
        <w:tc>
          <w:tcPr>
            <w:tcW w:type="dxa" w:w="13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Phase 2</w:t>
            </w:r>
          </w:p>
        </w:tc>
        <w:tc>
          <w:tcPr>
            <w:tcW w:type="dxa" w:w="13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Weeks 2–3</w:t>
            </w:r>
          </w:p>
        </w:tc>
        <w:tc>
          <w:tcPr>
            <w:tcW w:type="dxa" w:w="50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History, guardrails, error handling, schema explorer</w:t>
            </w:r>
          </w:p>
        </w:tc>
        <w:tc>
          <w:tcPr>
            <w:tcW w:type="dxa" w:w="17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Reliable, presentable tool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Phase 3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Weeks 4–5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Auth, caching, audit logging</w:t>
            </w:r>
          </w:p>
        </w:tc>
        <w:tc>
          <w:tcPr>
            <w:tcW w:type="dxa" w:w="17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Enterprise-ready deployment</w:t>
            </w:r>
          </w:p>
        </w:tc>
      </w:tr>
      <w:tr>
        <w:tc>
          <w:tcPr>
            <w:tcW w:type="dxa" w:w="13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Phase 4</w:t>
            </w:r>
          </w:p>
        </w:tc>
        <w:tc>
          <w:tcPr>
            <w:tcW w:type="dxa" w:w="13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Weeks 5–6</w:t>
            </w:r>
          </w:p>
        </w:tc>
        <w:tc>
          <w:tcPr>
            <w:tcW w:type="dxa" w:w="500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Multilingual support, chart suggestions, UX polish</w:t>
            </w:r>
          </w:p>
        </w:tc>
        <w:tc>
          <w:tcPr>
            <w:tcW w:type="dxa" w:w="1740"/>
            <w:shd w:fill="EEF2F7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Differentiated, polished product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Phase 5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Weeks 6–7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End-to-end testing and stakeholder walkthrough</w:t>
            </w:r>
          </w:p>
        </w:tc>
        <w:tc>
          <w:tcPr>
            <w:tcW w:type="dxa" w:w="17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Sign-off and rollout decision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i/>
          <w:iCs/>
          <w:color w:val="4B5563"/>
          <w:sz w:val="21"/>
          <w:szCs w:val="21"/>
        </w:rPr>
        <w:t xml:space="preserve">Phases overlap slightly by design: supporting features begin before the core pipeline is fully hardened, and testing runs alongside the final polish work rather than strictly after it.</w:t>
      </w:r>
    </w:p>
    <w:p>
      <w:pPr>
        <w:pStyle w:val="Heading1"/>
        <w:pBdr>
          <w:bottom w:val="single" w:color="2563EB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12. Success Metrics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Percentage of natural-language questions that produce a correct, executable SQL query on first attempt.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Average response time from question submission to results display.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Reduction in ad-hoc SQL requests directed at engineering/analytics teams.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User satisfaction, measured via the built-in feedback mechanism.</w:t>
      </w:r>
    </w:p>
    <w:p>
      <w:pPr>
        <w:pStyle w:val="Heading1"/>
        <w:pBdr>
          <w:bottom w:val="single" w:color="2563EB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13. Next 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Confirm model choice (Qwen2.5-Coder vs. SQLCoder) based on a short bake-off against sample questions.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Provision the dummy dataset and stand up the Phase 1 pipeline.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Review the working demo with stakeholders before proceeding to enterprise-readiness features.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5"/>
        <w:szCs w:val="15"/>
      </w:rPr>
      <w:t xml:space="preserve"> of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4" w:space="4"/>
      </w:pBdr>
      <w:jc w:val="right"/>
    </w:pPr>
    <w:r>
      <w:rPr>
        <w:rFonts w:ascii="Calibri" w:cs="Calibri" w:eastAsia="Calibri" w:hAnsi="Calibri"/>
        <w:color w:val="6B7280"/>
        <w:sz w:val="15"/>
        <w:szCs w:val="15"/>
      </w:rPr>
      <w:t xml:space="preserve">NL-to-SQL Query Assistant · Project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8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25f36c3dcf4a8b2540d55067502656e021cb965.png"/><Relationship Id="rId10" Type="http://schemas.openxmlformats.org/officeDocument/2006/relationships/image" Target="media/fc1389d8820ab2174b93e7e712840383fd5c3277.png"/><Relationship Id="rId11" Type="http://schemas.openxmlformats.org/officeDocument/2006/relationships/image" Target="media/5727d53506a9d6ff453f5cadff505a26b275f0a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2026-07-07T03:02:32.292Z</dcterms:created>
  <dcterms:modified xsi:type="dcterms:W3CDTF">2026-07-07T03:02:32.307Z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