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D4ED8"/>
          <w:sz w:val="48"/>
        </w:rPr>
        <w:t>POLITIQUE D'USAGE</w:t>
      </w:r>
    </w:p>
    <w:p>
      <w:pPr>
        <w:jc w:val="center"/>
      </w:pPr>
      <w:r>
        <w:rPr>
          <w:rFonts w:ascii="Calibri" w:hAnsi="Calibri" w:eastAsia="Calibri"/>
          <w:b/>
          <w:color w:val="0F172A"/>
          <w:sz w:val="26"/>
        </w:rPr>
        <w:t>Conditions générales d'utilisation — Plateforme Toghinis</w:t>
      </w:r>
    </w:p>
    <w:p>
      <w:pPr>
        <w:jc w:val="center"/>
      </w:pPr>
      <w:r>
        <w:rPr>
          <w:rFonts w:ascii="Calibri" w:hAnsi="Calibri" w:eastAsia="Calibri"/>
          <w:b w:val="0"/>
          <w:color w:val="64748B"/>
          <w:sz w:val="22"/>
        </w:rPr>
        <w:t>Version 1.0 — 15 septembre 2026</w:t>
        <w:br/>
        <w:t>Site web + application mobile</w:t>
        <w:br/>
        <w:t>Togo · Burkina Faso · Afrique de l'Ouest</w:t>
        <w:br/>
        <w:t>https://toghinis.com</w:t>
      </w:r>
    </w:p>
    <w:p>
      <w:pPr>
        <w:spacing w:line="276" w:lineRule="auto" w:after="100"/>
      </w:pPr>
      <w:r>
        <w:rPr>
          <w:rFonts w:ascii="Calibri" w:hAnsi="Calibri" w:eastAsia="Calibri"/>
          <w:b w:val="0"/>
          <w:color w:val="0F172A"/>
          <w:sz w:val="22"/>
        </w:rPr>
        <w:t>La présente politique d'usage fixe les règles d'utilisation de Toghinis. Le traitement des données personnelles est décrit dans la politique de confidentialité.</w:t>
      </w:r>
    </w:p>
    <w:p>
      <w:pPr>
        <w:spacing w:line="276" w:lineRule="auto" w:after="100"/>
      </w:pPr>
      <w:r>
        <w:rPr>
          <w:rFonts w:ascii="Calibri" w:hAnsi="Calibri" w:eastAsia="Calibri"/>
          <w:b/>
          <w:color w:val="0F172A"/>
          <w:sz w:val="22"/>
        </w:rPr>
        <w:t>AVERTISSEMENT : document à faire valider par un conseil juridique local avant publication officielle.</w:t>
      </w:r>
    </w:p>
    <w:p>
      <w:pPr>
        <w:spacing w:before="280" w:after="120"/>
      </w:pPr>
      <w:r>
        <w:rPr>
          <w:rFonts w:ascii="Calibri" w:hAnsi="Calibri" w:eastAsia="Calibri"/>
          <w:b/>
          <w:color w:val="1D4ED8"/>
          <w:sz w:val="32"/>
        </w:rPr>
        <w:t>1. Objet et acceptation</w:t>
      </w:r>
    </w:p>
    <w:p>
      <w:pPr>
        <w:spacing w:line="276" w:lineRule="auto" w:after="100"/>
      </w:pPr>
      <w:r>
        <w:rPr>
          <w:rFonts w:ascii="Calibri" w:hAnsi="Calibri" w:eastAsia="Calibri"/>
          <w:b w:val="0"/>
          <w:color w:val="0F172A"/>
          <w:sz w:val="22"/>
        </w:rPr>
        <w:t>Toghinis met à disposition un service numérique de mise en relation entre clients (besoins) et fournisseurs (prestations), via le site toghinis.com et l'application mobile.</w:t>
      </w:r>
    </w:p>
    <w:p>
      <w:pPr>
        <w:spacing w:line="276" w:lineRule="auto" w:after="100"/>
      </w:pPr>
      <w:r>
        <w:rPr>
          <w:rFonts w:ascii="Calibri" w:hAnsi="Calibri" w:eastAsia="Calibri"/>
          <w:b w:val="0"/>
          <w:color w:val="0F172A"/>
          <w:sz w:val="22"/>
        </w:rPr>
        <w:t>L'utilisation de la Plateforme (inscription, publication, matching, messagerie, etc.) vaut acceptation de cette politique et de la politique de confidentialité.</w:t>
      </w:r>
    </w:p>
    <w:p>
      <w:pPr>
        <w:spacing w:line="276" w:lineRule="auto" w:after="100"/>
      </w:pPr>
      <w:r>
        <w:rPr>
          <w:rFonts w:ascii="Calibri" w:hAnsi="Calibri" w:eastAsia="Calibri"/>
          <w:b w:val="0"/>
          <w:color w:val="0F172A"/>
          <w:sz w:val="22"/>
        </w:rPr>
        <w:t>Vous déclarez avoir la capacité de contracter (majeur, ou mineur d'au moins 16 ans avec autorisation parentale) et le pouvoir d'engager l'entité que vous représentez le cas échéant.</w:t>
      </w:r>
    </w:p>
    <w:p>
      <w:pPr>
        <w:spacing w:before="280" w:after="120"/>
      </w:pPr>
      <w:r>
        <w:rPr>
          <w:rFonts w:ascii="Calibri" w:hAnsi="Calibri" w:eastAsia="Calibri"/>
          <w:b/>
          <w:color w:val="1D4ED8"/>
          <w:sz w:val="32"/>
        </w:rPr>
        <w:t>2. Définitions</w:t>
      </w:r>
    </w:p>
    <w:tbl>
      <w:tblPr>
        <w:tblStyle w:val="TableGrid"/>
        <w:tblW w:type="auto" w:w="0"/>
        <w:tblLook w:firstColumn="1" w:firstRow="1" w:lastColumn="0" w:lastRow="0" w:noHBand="0" w:noVBand="1" w:val="04A0"/>
      </w:tblPr>
      <w:tblGrid>
        <w:gridCol w:w="4703"/>
        <w:gridCol w:w="4703"/>
      </w:tblGrid>
      <w:tr>
        <w:tc>
          <w:tcPr>
            <w:tcW w:type="dxa" w:w="4703"/>
            <w:shd w:fill="1D4ED8" w:val="clear"/>
          </w:tcPr>
          <w:p>
            <w:r/>
            <w:r>
              <w:rPr>
                <w:rFonts w:ascii="Calibri" w:hAnsi="Calibri" w:eastAsia="Calibri"/>
                <w:b/>
                <w:color w:val="FFFFFF"/>
                <w:sz w:val="18"/>
              </w:rPr>
              <w:t>Terme</w:t>
            </w:r>
          </w:p>
        </w:tc>
        <w:tc>
          <w:tcPr>
            <w:tcW w:type="dxa" w:w="4703"/>
            <w:shd w:fill="1D4ED8" w:val="clear"/>
          </w:tcPr>
          <w:p>
            <w:r/>
            <w:r>
              <w:rPr>
                <w:rFonts w:ascii="Calibri" w:hAnsi="Calibri" w:eastAsia="Calibri"/>
                <w:b/>
                <w:color w:val="FFFFFF"/>
                <w:sz w:val="18"/>
              </w:rPr>
              <w:t>Signification</w:t>
            </w:r>
          </w:p>
        </w:tc>
      </w:tr>
      <w:tr>
        <w:tc>
          <w:tcPr>
            <w:tcW w:type="dxa" w:w="4703"/>
          </w:tcPr>
          <w:p>
            <w:r/>
            <w:r>
              <w:rPr>
                <w:rFonts w:ascii="Calibri" w:hAnsi="Calibri" w:eastAsia="Calibri"/>
                <w:b w:val="0"/>
                <w:color w:val="0F172A"/>
                <w:sz w:val="18"/>
              </w:rPr>
              <w:t>Plateforme</w:t>
            </w:r>
          </w:p>
        </w:tc>
        <w:tc>
          <w:tcPr>
            <w:tcW w:type="dxa" w:w="4703"/>
          </w:tcPr>
          <w:p>
            <w:r/>
            <w:r>
              <w:rPr>
                <w:rFonts w:ascii="Calibri" w:hAnsi="Calibri" w:eastAsia="Calibri"/>
                <w:b w:val="0"/>
                <w:color w:val="0F172A"/>
                <w:sz w:val="18"/>
              </w:rPr>
              <w:t>Site, app mobile, API et services Toghinis</w:t>
            </w:r>
          </w:p>
        </w:tc>
      </w:tr>
      <w:tr>
        <w:tc>
          <w:tcPr>
            <w:tcW w:type="dxa" w:w="4703"/>
            <w:shd w:fill="F1F5F9" w:val="clear"/>
          </w:tcPr>
          <w:p>
            <w:r/>
            <w:r>
              <w:rPr>
                <w:rFonts w:ascii="Calibri" w:hAnsi="Calibri" w:eastAsia="Calibri"/>
                <w:b w:val="0"/>
                <w:color w:val="0F172A"/>
                <w:sz w:val="18"/>
              </w:rPr>
              <w:t>Client</w:t>
            </w:r>
          </w:p>
        </w:tc>
        <w:tc>
          <w:tcPr>
            <w:tcW w:type="dxa" w:w="4703"/>
            <w:shd w:fill="F1F5F9" w:val="clear"/>
          </w:tcPr>
          <w:p>
            <w:r/>
            <w:r>
              <w:rPr>
                <w:rFonts w:ascii="Calibri" w:hAnsi="Calibri" w:eastAsia="Calibri"/>
                <w:b w:val="0"/>
                <w:color w:val="0F172A"/>
                <w:sz w:val="18"/>
              </w:rPr>
              <w:t>Utilisateur publiant un besoin</w:t>
            </w:r>
          </w:p>
        </w:tc>
      </w:tr>
      <w:tr>
        <w:tc>
          <w:tcPr>
            <w:tcW w:type="dxa" w:w="4703"/>
          </w:tcPr>
          <w:p>
            <w:r/>
            <w:r>
              <w:rPr>
                <w:rFonts w:ascii="Calibri" w:hAnsi="Calibri" w:eastAsia="Calibri"/>
                <w:b w:val="0"/>
                <w:color w:val="0F172A"/>
                <w:sz w:val="18"/>
              </w:rPr>
              <w:t>Fournisseur</w:t>
            </w:r>
          </w:p>
        </w:tc>
        <w:tc>
          <w:tcPr>
            <w:tcW w:type="dxa" w:w="4703"/>
          </w:tcPr>
          <w:p>
            <w:r/>
            <w:r>
              <w:rPr>
                <w:rFonts w:ascii="Calibri" w:hAnsi="Calibri" w:eastAsia="Calibri"/>
                <w:b w:val="0"/>
                <w:color w:val="0F172A"/>
                <w:sz w:val="18"/>
              </w:rPr>
              <w:t>Utilisateur publiant une prestation</w:t>
            </w:r>
          </w:p>
        </w:tc>
      </w:tr>
      <w:tr>
        <w:tc>
          <w:tcPr>
            <w:tcW w:type="dxa" w:w="4703"/>
            <w:shd w:fill="F1F5F9" w:val="clear"/>
          </w:tcPr>
          <w:p>
            <w:r/>
            <w:r>
              <w:rPr>
                <w:rFonts w:ascii="Calibri" w:hAnsi="Calibri" w:eastAsia="Calibri"/>
                <w:b w:val="0"/>
                <w:color w:val="0F172A"/>
                <w:sz w:val="18"/>
              </w:rPr>
              <w:t>Matching</w:t>
            </w:r>
          </w:p>
        </w:tc>
        <w:tc>
          <w:tcPr>
            <w:tcW w:type="dxa" w:w="4703"/>
            <w:shd w:fill="F1F5F9" w:val="clear"/>
          </w:tcPr>
          <w:p>
            <w:r/>
            <w:r>
              <w:rPr>
                <w:rFonts w:ascii="Calibri" w:hAnsi="Calibri" w:eastAsia="Calibri"/>
                <w:b w:val="0"/>
                <w:color w:val="0F172A"/>
                <w:sz w:val="18"/>
              </w:rPr>
              <w:t>Correspondances proposées entre besoins et prestations</w:t>
            </w:r>
          </w:p>
        </w:tc>
      </w:tr>
      <w:tr>
        <w:tc>
          <w:tcPr>
            <w:tcW w:type="dxa" w:w="4703"/>
          </w:tcPr>
          <w:p>
            <w:r/>
            <w:r>
              <w:rPr>
                <w:rFonts w:ascii="Calibri" w:hAnsi="Calibri" w:eastAsia="Calibri"/>
                <w:b w:val="0"/>
                <w:color w:val="0F172A"/>
                <w:sz w:val="18"/>
              </w:rPr>
              <w:t>Collaboration</w:t>
            </w:r>
          </w:p>
        </w:tc>
        <w:tc>
          <w:tcPr>
            <w:tcW w:type="dxa" w:w="4703"/>
          </w:tcPr>
          <w:p>
            <w:r/>
            <w:r>
              <w:rPr>
                <w:rFonts w:ascii="Calibri" w:hAnsi="Calibri" w:eastAsia="Calibri"/>
                <w:b w:val="0"/>
                <w:color w:val="0F172A"/>
                <w:sz w:val="18"/>
              </w:rPr>
              <w:t>Relation suivie après confirmation d'un match</w:t>
            </w:r>
          </w:p>
        </w:tc>
      </w:tr>
      <w:tr>
        <w:tc>
          <w:tcPr>
            <w:tcW w:type="dxa" w:w="4703"/>
            <w:shd w:fill="F1F5F9" w:val="clear"/>
          </w:tcPr>
          <w:p>
            <w:r/>
            <w:r>
              <w:rPr>
                <w:rFonts w:ascii="Calibri" w:hAnsi="Calibri" w:eastAsia="Calibri"/>
                <w:b w:val="0"/>
                <w:color w:val="0F172A"/>
                <w:sz w:val="18"/>
              </w:rPr>
              <w:t>Devis</w:t>
            </w:r>
          </w:p>
        </w:tc>
        <w:tc>
          <w:tcPr>
            <w:tcW w:type="dxa" w:w="4703"/>
            <w:shd w:fill="F1F5F9" w:val="clear"/>
          </w:tcPr>
          <w:p>
            <w:r/>
            <w:r>
              <w:rPr>
                <w:rFonts w:ascii="Calibri" w:hAnsi="Calibri" w:eastAsia="Calibri"/>
                <w:b w:val="0"/>
                <w:color w:val="0F172A"/>
                <w:sz w:val="18"/>
              </w:rPr>
              <w:t>Proposition de prix dans une collaboration</w:t>
            </w:r>
          </w:p>
        </w:tc>
      </w:tr>
      <w:tr>
        <w:tc>
          <w:tcPr>
            <w:tcW w:type="dxa" w:w="4703"/>
          </w:tcPr>
          <w:p>
            <w:r/>
            <w:r>
              <w:rPr>
                <w:rFonts w:ascii="Calibri" w:hAnsi="Calibri" w:eastAsia="Calibri"/>
                <w:b w:val="0"/>
                <w:color w:val="0F172A"/>
                <w:sz w:val="18"/>
              </w:rPr>
              <w:t>Contenu</w:t>
            </w:r>
          </w:p>
        </w:tc>
        <w:tc>
          <w:tcPr>
            <w:tcW w:type="dxa" w:w="4703"/>
          </w:tcPr>
          <w:p>
            <w:r/>
            <w:r>
              <w:rPr>
                <w:rFonts w:ascii="Calibri" w:hAnsi="Calibri" w:eastAsia="Calibri"/>
                <w:b w:val="0"/>
                <w:color w:val="0F172A"/>
                <w:sz w:val="18"/>
              </w:rPr>
              <w:t>Textes, fichiers et données publiés ou échangés</w:t>
            </w:r>
          </w:p>
        </w:tc>
      </w:tr>
    </w:tbl>
    <w:p/>
    <w:p>
      <w:pPr>
        <w:spacing w:before="280" w:after="120"/>
      </w:pPr>
      <w:r>
        <w:rPr>
          <w:rFonts w:ascii="Calibri" w:hAnsi="Calibri" w:eastAsia="Calibri"/>
          <w:b/>
          <w:color w:val="1D4ED8"/>
          <w:sz w:val="32"/>
        </w:rPr>
        <w:t>3. Description du service</w:t>
      </w:r>
    </w:p>
    <w:p>
      <w:pPr>
        <w:spacing w:line="276" w:lineRule="auto" w:after="100"/>
      </w:pPr>
      <w:r>
        <w:rPr>
          <w:rFonts w:ascii="Calibri" w:hAnsi="Calibri" w:eastAsia="Calibri"/>
          <w:b w:val="0"/>
          <w:color w:val="0F172A"/>
          <w:sz w:val="22"/>
        </w:rPr>
        <w:t>La Plateforme permet notamment de :</w:t>
      </w:r>
    </w:p>
    <w:p>
      <w:pPr>
        <w:pStyle w:val="ListBullet"/>
      </w:pPr>
      <w:r>
        <w:rPr>
          <w:rFonts w:ascii="Calibri" w:hAnsi="Calibri" w:eastAsia="Calibri"/>
          <w:b w:val="0"/>
          <w:color w:val="0F172A"/>
          <w:sz w:val="22"/>
        </w:rPr>
        <w:t>créer un compte client ou fournisseur et gérer un profil ;</w:t>
      </w:r>
    </w:p>
    <w:p>
      <w:pPr>
        <w:pStyle w:val="ListBullet"/>
      </w:pPr>
      <w:r>
        <w:rPr>
          <w:rFonts w:ascii="Calibri" w:hAnsi="Calibri" w:eastAsia="Calibri"/>
          <w:b w:val="0"/>
          <w:color w:val="0F172A"/>
          <w:sz w:val="22"/>
        </w:rPr>
        <w:t>publier et suivre des besoins ou prestations ;</w:t>
      </w:r>
    </w:p>
    <w:p>
      <w:pPr>
        <w:pStyle w:val="ListBullet"/>
      </w:pPr>
      <w:r>
        <w:rPr>
          <w:rFonts w:ascii="Calibri" w:hAnsi="Calibri" w:eastAsia="Calibri"/>
          <w:b w:val="0"/>
          <w:color w:val="0F172A"/>
          <w:sz w:val="22"/>
        </w:rPr>
        <w:t>utiliser le matching multi-critères ;</w:t>
      </w:r>
    </w:p>
    <w:p>
      <w:pPr>
        <w:pStyle w:val="ListBullet"/>
      </w:pPr>
      <w:r>
        <w:rPr>
          <w:rFonts w:ascii="Calibri" w:hAnsi="Calibri" w:eastAsia="Calibri"/>
          <w:b w:val="0"/>
          <w:color w:val="0F172A"/>
          <w:sz w:val="22"/>
        </w:rPr>
        <w:t>suivre une collaboration (devis, travail, vérification, clôture) ;</w:t>
      </w:r>
    </w:p>
    <w:p>
      <w:pPr>
        <w:pStyle w:val="ListBullet"/>
      </w:pPr>
      <w:r>
        <w:rPr>
          <w:rFonts w:ascii="Calibri" w:hAnsi="Calibri" w:eastAsia="Calibri"/>
          <w:b w:val="0"/>
          <w:color w:val="0F172A"/>
          <w:sz w:val="22"/>
        </w:rPr>
        <w:t>échanger via la messagerie (avec pièces jointes éventuelles) ;</w:t>
      </w:r>
    </w:p>
    <w:p>
      <w:pPr>
        <w:pStyle w:val="ListBullet"/>
      </w:pPr>
      <w:r>
        <w:rPr>
          <w:rFonts w:ascii="Calibri" w:hAnsi="Calibri" w:eastAsia="Calibri"/>
          <w:b w:val="0"/>
          <w:color w:val="0F172A"/>
          <w:sz w:val="22"/>
        </w:rPr>
        <w:t>laisser un avis après collaboration terminée ;</w:t>
      </w:r>
    </w:p>
    <w:p>
      <w:pPr>
        <w:pStyle w:val="ListBullet"/>
      </w:pPr>
      <w:r>
        <w:rPr>
          <w:rFonts w:ascii="Calibri" w:hAnsi="Calibri" w:eastAsia="Calibri"/>
          <w:b w:val="0"/>
          <w:color w:val="0F172A"/>
          <w:sz w:val="22"/>
        </w:rPr>
        <w:t>recevoir des notifications (email / push).</w:t>
      </w:r>
    </w:p>
    <w:p>
      <w:pPr>
        <w:spacing w:before="160" w:after="80"/>
      </w:pPr>
      <w:r>
        <w:rPr>
          <w:rFonts w:ascii="Calibri" w:hAnsi="Calibri" w:eastAsia="Calibri"/>
          <w:b/>
          <w:color w:val="0F172A"/>
          <w:sz w:val="24"/>
        </w:rPr>
        <w:t>Nature du service — point essentiel</w:t>
      </w:r>
    </w:p>
    <w:p>
      <w:pPr>
        <w:spacing w:line="276" w:lineRule="auto" w:after="100"/>
      </w:pPr>
      <w:r>
        <w:rPr>
          <w:rFonts w:ascii="Calibri" w:hAnsi="Calibri" w:eastAsia="Calibri"/>
          <w:b/>
          <w:color w:val="0F172A"/>
          <w:sz w:val="22"/>
        </w:rPr>
        <w:t>Toghinis n'est pas partie au contrat de prestation entre Client et Fournisseur. Nous ne réalisons pas les services métier, ne garantissons pas le résultat d'une prestation et ne sommes pas un établissement de paiement (sauf évolution clairement annoncée). L'exécution et le paiement relèvent de la relation directe entre Utilisateurs.</w:t>
      </w:r>
    </w:p>
    <w:p>
      <w:pPr>
        <w:spacing w:before="280" w:after="120"/>
      </w:pPr>
      <w:r>
        <w:rPr>
          <w:rFonts w:ascii="Calibri" w:hAnsi="Calibri" w:eastAsia="Calibri"/>
          <w:b/>
          <w:color w:val="1D4ED8"/>
          <w:sz w:val="32"/>
        </w:rPr>
        <w:t>4. Accès et disponibilité</w:t>
      </w:r>
    </w:p>
    <w:p>
      <w:pPr>
        <w:pStyle w:val="ListBullet"/>
      </w:pPr>
      <w:r>
        <w:rPr>
          <w:rFonts w:ascii="Calibri" w:hAnsi="Calibri" w:eastAsia="Calibri"/>
          <w:b w:val="0"/>
          <w:color w:val="0F172A"/>
          <w:sz w:val="22"/>
        </w:rPr>
        <w:t>Prérequis : Internet, navigateur ou appareil compatible.</w:t>
      </w:r>
    </w:p>
    <w:p>
      <w:pPr>
        <w:pStyle w:val="ListBullet"/>
      </w:pPr>
      <w:r>
        <w:rPr>
          <w:rFonts w:ascii="Calibri" w:hAnsi="Calibri" w:eastAsia="Calibri"/>
          <w:b w:val="0"/>
          <w:color w:val="0F172A"/>
          <w:sz w:val="22"/>
        </w:rPr>
        <w:t>Disponibilité raisonnable sans garantie d'accès ininterrompu (maintenance, pannes, force majeure).</w:t>
      </w:r>
    </w:p>
    <w:p>
      <w:pPr>
        <w:pStyle w:val="ListBullet"/>
      </w:pPr>
      <w:r>
        <w:rPr>
          <w:rFonts w:ascii="Calibri" w:hAnsi="Calibri" w:eastAsia="Calibri"/>
          <w:b w:val="0"/>
          <w:color w:val="0F172A"/>
          <w:sz w:val="22"/>
        </w:rPr>
        <w:t>Le service peut évoluer ; les changements importants pourront être signalés.</w:t>
      </w:r>
    </w:p>
    <w:p>
      <w:pPr>
        <w:spacing w:before="280" w:after="120"/>
      </w:pPr>
      <w:r>
        <w:rPr>
          <w:rFonts w:ascii="Calibri" w:hAnsi="Calibri" w:eastAsia="Calibri"/>
          <w:b/>
          <w:color w:val="1D4ED8"/>
          <w:sz w:val="32"/>
        </w:rPr>
        <w:t>5. Compte utilisateur</w:t>
      </w:r>
    </w:p>
    <w:p>
      <w:pPr>
        <w:pStyle w:val="ListBullet"/>
      </w:pPr>
      <w:r>
        <w:rPr>
          <w:rFonts w:ascii="Calibri" w:hAnsi="Calibri" w:eastAsia="Calibri"/>
          <w:b w:val="0"/>
          <w:color w:val="0F172A"/>
          <w:sz w:val="22"/>
        </w:rPr>
        <w:t>Informations d'inscription exactes et à jour.</w:t>
      </w:r>
    </w:p>
    <w:p>
      <w:pPr>
        <w:pStyle w:val="ListBullet"/>
      </w:pPr>
      <w:r>
        <w:rPr>
          <w:rFonts w:ascii="Calibri" w:hAnsi="Calibri" w:eastAsia="Calibri"/>
          <w:b w:val="0"/>
          <w:color w:val="0F172A"/>
          <w:sz w:val="22"/>
        </w:rPr>
        <w:t>Confidentialité des identifiants ; signaler tout accès non autorisé.</w:t>
      </w:r>
    </w:p>
    <w:p>
      <w:pPr>
        <w:pStyle w:val="ListBullet"/>
      </w:pPr>
      <w:r>
        <w:rPr>
          <w:rFonts w:ascii="Calibri" w:hAnsi="Calibri" w:eastAsia="Calibri"/>
          <w:b w:val="0"/>
          <w:color w:val="0F172A"/>
          <w:sz w:val="22"/>
        </w:rPr>
        <w:t>Rôles principaux : client ou fournisseur (admin hors usage grand public).</w:t>
      </w:r>
    </w:p>
    <w:p>
      <w:pPr>
        <w:pStyle w:val="ListBullet"/>
      </w:pPr>
      <w:r>
        <w:rPr>
          <w:rFonts w:ascii="Calibri" w:hAnsi="Calibri" w:eastAsia="Calibri"/>
          <w:b w:val="0"/>
          <w:color w:val="0F172A"/>
          <w:sz w:val="22"/>
        </w:rPr>
        <w:t>Déconnexion de l'appareil ou de tous les appareils lorsque disponible.</w:t>
      </w:r>
    </w:p>
    <w:p>
      <w:pPr>
        <w:spacing w:before="280" w:after="120"/>
      </w:pPr>
      <w:r>
        <w:rPr>
          <w:rFonts w:ascii="Calibri" w:hAnsi="Calibri" w:eastAsia="Calibri"/>
          <w:b/>
          <w:color w:val="1D4ED8"/>
          <w:sz w:val="32"/>
        </w:rPr>
        <w:t>6. Comportements interdits</w:t>
      </w:r>
    </w:p>
    <w:p>
      <w:pPr>
        <w:spacing w:line="276" w:lineRule="auto" w:after="100"/>
      </w:pPr>
      <w:r>
        <w:rPr>
          <w:rFonts w:ascii="Calibri" w:hAnsi="Calibri" w:eastAsia="Calibri"/>
          <w:b w:val="0"/>
          <w:color w:val="0F172A"/>
          <w:sz w:val="22"/>
        </w:rPr>
        <w:t>Il est notamment interdit de :</w:t>
      </w:r>
    </w:p>
    <w:p>
      <w:pPr>
        <w:pStyle w:val="ListBullet"/>
      </w:pPr>
      <w:r>
        <w:rPr>
          <w:rFonts w:ascii="Calibri" w:hAnsi="Calibri" w:eastAsia="Calibri"/>
          <w:b w:val="0"/>
          <w:color w:val="0F172A"/>
          <w:sz w:val="22"/>
        </w:rPr>
        <w:t>publier des contenus illicites, diffamatoires, haineux ou portant atteinte aux mineurs ;</w:t>
      </w:r>
    </w:p>
    <w:p>
      <w:pPr>
        <w:pStyle w:val="ListBullet"/>
      </w:pPr>
      <w:r>
        <w:rPr>
          <w:rFonts w:ascii="Calibri" w:hAnsi="Calibri" w:eastAsia="Calibri"/>
          <w:b w:val="0"/>
          <w:color w:val="0F172A"/>
          <w:sz w:val="22"/>
        </w:rPr>
        <w:t>usurper une identité ou tromper (fausses offres, faux besoins) ;</w:t>
      </w:r>
    </w:p>
    <w:p>
      <w:pPr>
        <w:pStyle w:val="ListBullet"/>
      </w:pPr>
      <w:r>
        <w:rPr>
          <w:rFonts w:ascii="Calibri" w:hAnsi="Calibri" w:eastAsia="Calibri"/>
          <w:b w:val="0"/>
          <w:color w:val="0F172A"/>
          <w:sz w:val="22"/>
        </w:rPr>
        <w:t>harceler ou menacer d'autres utilisateurs ;</w:t>
      </w:r>
    </w:p>
    <w:p>
      <w:pPr>
        <w:pStyle w:val="ListBullet"/>
      </w:pPr>
      <w:r>
        <w:rPr>
          <w:rFonts w:ascii="Calibri" w:hAnsi="Calibri" w:eastAsia="Calibri"/>
          <w:b w:val="0"/>
          <w:color w:val="0F172A"/>
          <w:sz w:val="22"/>
        </w:rPr>
        <w:t>contourner la sécurité, scrapers ou saturer les serveurs ;</w:t>
      </w:r>
    </w:p>
    <w:p>
      <w:pPr>
        <w:pStyle w:val="ListBullet"/>
      </w:pPr>
      <w:r>
        <w:rPr>
          <w:rFonts w:ascii="Calibri" w:hAnsi="Calibri" w:eastAsia="Calibri"/>
          <w:b w:val="0"/>
          <w:color w:val="0F172A"/>
          <w:sz w:val="22"/>
        </w:rPr>
        <w:t>envoyer des fichiers malveillants ou du spam ;</w:t>
      </w:r>
    </w:p>
    <w:p>
      <w:pPr>
        <w:pStyle w:val="ListBullet"/>
      </w:pPr>
      <w:r>
        <w:rPr>
          <w:rFonts w:ascii="Calibri" w:hAnsi="Calibri" w:eastAsia="Calibri"/>
          <w:b w:val="0"/>
          <w:color w:val="0F172A"/>
          <w:sz w:val="22"/>
        </w:rPr>
        <w:t>utiliser la Plateforme pour une activité frauduleuse ou illégale.</w:t>
      </w:r>
    </w:p>
    <w:p>
      <w:pPr>
        <w:spacing w:line="276" w:lineRule="auto" w:after="100"/>
      </w:pPr>
      <w:r>
        <w:rPr>
          <w:rFonts w:ascii="Calibri" w:hAnsi="Calibri" w:eastAsia="Calibri"/>
          <w:b w:val="0"/>
          <w:color w:val="0F172A"/>
          <w:sz w:val="22"/>
        </w:rPr>
        <w:t>Vous êtes responsable de vos Contenus. Toghinis peut modérer, supprimer un Contenu ou suspendre un compte en cas de manquement.</w:t>
      </w:r>
    </w:p>
    <w:p>
      <w:pPr>
        <w:spacing w:before="280" w:after="120"/>
      </w:pPr>
      <w:r>
        <w:rPr>
          <w:rFonts w:ascii="Calibri" w:hAnsi="Calibri" w:eastAsia="Calibri"/>
          <w:b/>
          <w:color w:val="1D4ED8"/>
          <w:sz w:val="32"/>
        </w:rPr>
        <w:t>7. Besoins et prestations</w:t>
      </w:r>
    </w:p>
    <w:p>
      <w:pPr>
        <w:pStyle w:val="ListBullet"/>
      </w:pPr>
      <w:r>
        <w:rPr>
          <w:rFonts w:ascii="Calibri" w:hAnsi="Calibri" w:eastAsia="Calibri"/>
          <w:b w:val="0"/>
          <w:color w:val="0F172A"/>
          <w:sz w:val="22"/>
        </w:rPr>
        <w:t>Clients : décrire le besoin de façon claire et non trompeuse.</w:t>
      </w:r>
    </w:p>
    <w:p>
      <w:pPr>
        <w:pStyle w:val="ListBullet"/>
      </w:pPr>
      <w:r>
        <w:rPr>
          <w:rFonts w:ascii="Calibri" w:hAnsi="Calibri" w:eastAsia="Calibri"/>
          <w:b w:val="0"/>
          <w:color w:val="0F172A"/>
          <w:sz w:val="22"/>
        </w:rPr>
        <w:t>Fournisseurs : décrire l'offre exactement ; disposer des qualifications / autorisations requises.</w:t>
      </w:r>
    </w:p>
    <w:p>
      <w:pPr>
        <w:pStyle w:val="ListBullet"/>
      </w:pPr>
      <w:r>
        <w:rPr>
          <w:rFonts w:ascii="Calibri" w:hAnsi="Calibri" w:eastAsia="Calibri"/>
          <w:b w:val="0"/>
          <w:color w:val="0F172A"/>
          <w:sz w:val="22"/>
        </w:rPr>
        <w:t>Toghinis peut demander des justificatifs en cas de doute.</w:t>
      </w:r>
    </w:p>
    <w:p>
      <w:pPr>
        <w:spacing w:before="280" w:after="120"/>
      </w:pPr>
      <w:r>
        <w:rPr>
          <w:rFonts w:ascii="Calibri" w:hAnsi="Calibri" w:eastAsia="Calibri"/>
          <w:b/>
          <w:color w:val="1D4ED8"/>
          <w:sz w:val="32"/>
        </w:rPr>
        <w:t>8. Matching, devis et collaborations</w:t>
      </w:r>
    </w:p>
    <w:p>
      <w:pPr>
        <w:pStyle w:val="ListBullet"/>
      </w:pPr>
      <w:r>
        <w:rPr>
          <w:rFonts w:ascii="Calibri" w:hAnsi="Calibri" w:eastAsia="Calibri"/>
          <w:b w:val="0"/>
          <w:color w:val="0F172A"/>
          <w:sz w:val="22"/>
        </w:rPr>
        <w:t>Le matching est une aide à la décision, sans garantie de qualité ni obligation de contracter.</w:t>
      </w:r>
    </w:p>
    <w:p>
      <w:pPr>
        <w:pStyle w:val="ListBullet"/>
      </w:pPr>
      <w:r>
        <w:rPr>
          <w:rFonts w:ascii="Calibri" w:hAnsi="Calibri" w:eastAsia="Calibri"/>
          <w:b w:val="0"/>
          <w:color w:val="0F172A"/>
          <w:sz w:val="22"/>
        </w:rPr>
        <w:t>La confirmation d'un match ouvre une collaboration sur la Plateforme.</w:t>
      </w:r>
    </w:p>
    <w:p>
      <w:pPr>
        <w:pStyle w:val="ListBullet"/>
      </w:pPr>
      <w:r>
        <w:rPr>
          <w:rFonts w:ascii="Calibri" w:hAnsi="Calibri" w:eastAsia="Calibri"/>
          <w:b w:val="0"/>
          <w:color w:val="0F172A"/>
          <w:sz w:val="22"/>
        </w:rPr>
        <w:t>Devis et prix final : convenus entre Client et Fournisseur.</w:t>
      </w:r>
    </w:p>
    <w:p>
      <w:pPr>
        <w:pStyle w:val="ListBullet"/>
      </w:pPr>
      <w:r>
        <w:rPr>
          <w:rFonts w:ascii="Calibri" w:hAnsi="Calibri" w:eastAsia="Calibri"/>
          <w:b w:val="0"/>
          <w:color w:val="0F172A"/>
          <w:sz w:val="22"/>
        </w:rPr>
        <w:t>Exécution du service : responsabilité exclusive du Fournisseur envers le Client.</w:t>
      </w:r>
    </w:p>
    <w:p>
      <w:pPr>
        <w:pStyle w:val="ListBullet"/>
      </w:pPr>
      <w:r>
        <w:rPr>
          <w:rFonts w:ascii="Calibri" w:hAnsi="Calibri" w:eastAsia="Calibri"/>
          <w:b w:val="0"/>
          <w:color w:val="0F172A"/>
          <w:sz w:val="22"/>
        </w:rPr>
        <w:t>Paiement : hors Plateforme ou selon modalités annoncées ; Toghinis n'encaisse pas automatiquement les fonds pour compte d'autrui sauf fonctionnalité explicitement activée.</w:t>
      </w:r>
    </w:p>
    <w:p>
      <w:pPr>
        <w:pStyle w:val="ListBullet"/>
      </w:pPr>
      <w:r>
        <w:rPr>
          <w:rFonts w:ascii="Calibri" w:hAnsi="Calibri" w:eastAsia="Calibri"/>
          <w:b w:val="0"/>
          <w:color w:val="0F172A"/>
          <w:sz w:val="22"/>
        </w:rPr>
        <w:t>Avis après clôture : honnêtes et non injurieux ; avis abusifs retirables.</w:t>
      </w:r>
    </w:p>
    <w:p>
      <w:pPr>
        <w:spacing w:before="280" w:after="120"/>
      </w:pPr>
      <w:r>
        <w:rPr>
          <w:rFonts w:ascii="Calibri" w:hAnsi="Calibri" w:eastAsia="Calibri"/>
          <w:b/>
          <w:color w:val="1D4ED8"/>
          <w:sz w:val="32"/>
        </w:rPr>
        <w:t>9. Messagerie</w:t>
      </w:r>
    </w:p>
    <w:p>
      <w:pPr>
        <w:pStyle w:val="ListBullet"/>
      </w:pPr>
      <w:r>
        <w:rPr>
          <w:rFonts w:ascii="Calibri" w:hAnsi="Calibri" w:eastAsia="Calibri"/>
          <w:b w:val="0"/>
          <w:color w:val="0F172A"/>
          <w:sz w:val="22"/>
        </w:rPr>
        <w:t>Réservée aux échanges liés au service / collaborations.</w:t>
      </w:r>
    </w:p>
    <w:p>
      <w:pPr>
        <w:pStyle w:val="ListBullet"/>
      </w:pPr>
      <w:r>
        <w:rPr>
          <w:rFonts w:ascii="Calibri" w:hAnsi="Calibri" w:eastAsia="Calibri"/>
          <w:b w:val="0"/>
          <w:color w:val="0F172A"/>
          <w:sz w:val="22"/>
        </w:rPr>
        <w:t>Limites de taille et de formats (ex. 10 Mo) ; pas d'exécutables.</w:t>
      </w:r>
    </w:p>
    <w:p>
      <w:pPr>
        <w:pStyle w:val="ListBullet"/>
      </w:pPr>
      <w:r>
        <w:rPr>
          <w:rFonts w:ascii="Calibri" w:hAnsi="Calibri" w:eastAsia="Calibri"/>
          <w:b w:val="0"/>
          <w:color w:val="0F172A"/>
          <w:sz w:val="22"/>
        </w:rPr>
        <w:t>Éviter d'envoyer données bancaires complètes ou pièces d'identité sans nécessité.</w:t>
      </w:r>
    </w:p>
    <w:p>
      <w:pPr>
        <w:spacing w:before="280" w:after="120"/>
      </w:pPr>
      <w:r>
        <w:rPr>
          <w:rFonts w:ascii="Calibri" w:hAnsi="Calibri" w:eastAsia="Calibri"/>
          <w:b/>
          <w:color w:val="1D4ED8"/>
          <w:sz w:val="32"/>
        </w:rPr>
        <w:t>10. Offres payantes / premium</w:t>
      </w:r>
    </w:p>
    <w:p>
      <w:pPr>
        <w:spacing w:line="276" w:lineRule="auto" w:after="100"/>
      </w:pPr>
      <w:r>
        <w:rPr>
          <w:rFonts w:ascii="Calibri" w:hAnsi="Calibri" w:eastAsia="Calibri"/>
          <w:b w:val="0"/>
          <w:color w:val="0F172A"/>
          <w:sz w:val="22"/>
        </w:rPr>
        <w:t>Certaines fonctions (ex. premium, matching autonome) peuvent être payantes. Tarifs et conditions indiqués à la souscription. Non-paiement : suspension des avantages. Section à adapter dès commercialisation officielle.</w:t>
      </w:r>
    </w:p>
    <w:p>
      <w:pPr>
        <w:spacing w:before="280" w:after="120"/>
      </w:pPr>
      <w:r>
        <w:rPr>
          <w:rFonts w:ascii="Calibri" w:hAnsi="Calibri" w:eastAsia="Calibri"/>
          <w:b/>
          <w:color w:val="1D4ED8"/>
          <w:sz w:val="32"/>
        </w:rPr>
        <w:t>11. Propriété intellectuelle</w:t>
      </w:r>
    </w:p>
    <w:p>
      <w:pPr>
        <w:pStyle w:val="ListBullet"/>
      </w:pPr>
      <w:r>
        <w:rPr>
          <w:rFonts w:ascii="Calibri" w:hAnsi="Calibri" w:eastAsia="Calibri"/>
          <w:b w:val="0"/>
          <w:color w:val="0F172A"/>
          <w:sz w:val="22"/>
        </w:rPr>
        <w:t>Marque, logos, logiciels et interfaces Toghinis protégés.</w:t>
      </w:r>
    </w:p>
    <w:p>
      <w:pPr>
        <w:pStyle w:val="ListBullet"/>
      </w:pPr>
      <w:r>
        <w:rPr>
          <w:rFonts w:ascii="Calibri" w:hAnsi="Calibri" w:eastAsia="Calibri"/>
          <w:b w:val="0"/>
          <w:color w:val="0F172A"/>
          <w:sz w:val="22"/>
        </w:rPr>
        <w:t>Licence personnelle non exclusive d'usage de la Plateforme.</w:t>
      </w:r>
    </w:p>
    <w:p>
      <w:pPr>
        <w:pStyle w:val="ListBullet"/>
      </w:pPr>
      <w:r>
        <w:rPr>
          <w:rFonts w:ascii="Calibri" w:hAnsi="Calibri" w:eastAsia="Calibri"/>
          <w:b w:val="0"/>
          <w:color w:val="0F172A"/>
          <w:sz w:val="22"/>
        </w:rPr>
        <w:t>Vous conservez vos Contenus ; licence limitée à Toghinis pour le fonctionnement du service.</w:t>
      </w:r>
    </w:p>
    <w:p>
      <w:pPr>
        <w:spacing w:before="280" w:after="120"/>
      </w:pPr>
      <w:r>
        <w:rPr>
          <w:rFonts w:ascii="Calibri" w:hAnsi="Calibri" w:eastAsia="Calibri"/>
          <w:b/>
          <w:color w:val="1D4ED8"/>
          <w:sz w:val="32"/>
        </w:rPr>
        <w:t>12. Données personnelles</w:t>
      </w:r>
    </w:p>
    <w:p>
      <w:pPr>
        <w:spacing w:line="276" w:lineRule="auto" w:after="100"/>
      </w:pPr>
      <w:r>
        <w:rPr>
          <w:rFonts w:ascii="Calibri" w:hAnsi="Calibri" w:eastAsia="Calibri"/>
          <w:b w:val="0"/>
          <w:color w:val="0F172A"/>
          <w:sz w:val="22"/>
        </w:rPr>
        <w:t>Régies par la politique de confidentialité. L'usage de la Plateforme vaut également prise de connaissance de cette politique.</w:t>
      </w:r>
    </w:p>
    <w:p>
      <w:pPr>
        <w:spacing w:before="280" w:after="120"/>
      </w:pPr>
      <w:r>
        <w:rPr>
          <w:rFonts w:ascii="Calibri" w:hAnsi="Calibri" w:eastAsia="Calibri"/>
          <w:b/>
          <w:color w:val="1D4ED8"/>
          <w:sz w:val="32"/>
        </w:rPr>
        <w:t>13. Signalement</w:t>
      </w:r>
    </w:p>
    <w:p>
      <w:pPr>
        <w:spacing w:line="276" w:lineRule="auto" w:after="100"/>
      </w:pPr>
      <w:r>
        <w:rPr>
          <w:rFonts w:ascii="Calibri" w:hAnsi="Calibri" w:eastAsia="Calibri"/>
          <w:b w:val="0"/>
          <w:color w:val="0F172A"/>
          <w:sz w:val="22"/>
        </w:rPr>
        <w:t>Abus ou contenu illicite : support@toghinis.com. Mesures possibles : avertissement, suppression, suspension, signalement aux autorités.</w:t>
      </w:r>
    </w:p>
    <w:p>
      <w:pPr>
        <w:spacing w:before="280" w:after="120"/>
      </w:pPr>
      <w:r>
        <w:rPr>
          <w:rFonts w:ascii="Calibri" w:hAnsi="Calibri" w:eastAsia="Calibri"/>
          <w:b/>
          <w:color w:val="1D4ED8"/>
          <w:sz w:val="32"/>
        </w:rPr>
        <w:t>14. Suspension et résiliation</w:t>
      </w:r>
    </w:p>
    <w:p>
      <w:pPr>
        <w:pStyle w:val="ListBullet"/>
      </w:pPr>
      <w:r>
        <w:rPr>
          <w:rFonts w:ascii="Calibri" w:hAnsi="Calibri" w:eastAsia="Calibri"/>
          <w:b w:val="0"/>
          <w:color w:val="0F172A"/>
          <w:sz w:val="22"/>
        </w:rPr>
        <w:t>Par l'Utilisateur : arrêt d'usage et demande de fermeture de compte.</w:t>
      </w:r>
    </w:p>
    <w:p>
      <w:pPr>
        <w:pStyle w:val="ListBullet"/>
      </w:pPr>
      <w:r>
        <w:rPr>
          <w:rFonts w:ascii="Calibri" w:hAnsi="Calibri" w:eastAsia="Calibri"/>
          <w:b w:val="0"/>
          <w:color w:val="0F172A"/>
          <w:sz w:val="22"/>
        </w:rPr>
        <w:t>Par Toghinis : manquement, fraude, sécurité, obligation légale, inactivité.</w:t>
      </w:r>
    </w:p>
    <w:p>
      <w:pPr>
        <w:pStyle w:val="ListBullet"/>
      </w:pPr>
      <w:r>
        <w:rPr>
          <w:rFonts w:ascii="Calibri" w:hAnsi="Calibri" w:eastAsia="Calibri"/>
          <w:b w:val="0"/>
          <w:color w:val="0F172A"/>
          <w:sz w:val="22"/>
        </w:rPr>
        <w:t>Les obligations nées avant clôture (litiges entre utilisateurs) subsistent.</w:t>
      </w:r>
    </w:p>
    <w:p>
      <w:pPr>
        <w:spacing w:before="280" w:after="120"/>
      </w:pPr>
      <w:r>
        <w:rPr>
          <w:rFonts w:ascii="Calibri" w:hAnsi="Calibri" w:eastAsia="Calibri"/>
          <w:b/>
          <w:color w:val="1D4ED8"/>
          <w:sz w:val="32"/>
        </w:rPr>
        <w:t>15. Responsabilité</w:t>
      </w:r>
    </w:p>
    <w:p>
      <w:pPr>
        <w:spacing w:line="276" w:lineRule="auto" w:after="100"/>
      </w:pPr>
      <w:r>
        <w:rPr>
          <w:rFonts w:ascii="Calibri" w:hAnsi="Calibri" w:eastAsia="Calibri"/>
          <w:b w:val="0"/>
          <w:color w:val="0F172A"/>
          <w:sz w:val="22"/>
        </w:rPr>
        <w:t>Service fourni « en l'état ». Toghinis ne garantit pas l'absence totale d'erreurs, ni la qualité / solvabilité d'un Utilisateur.</w:t>
      </w:r>
    </w:p>
    <w:p>
      <w:pPr>
        <w:spacing w:line="276" w:lineRule="auto" w:after="100"/>
      </w:pPr>
      <w:r>
        <w:rPr>
          <w:rFonts w:ascii="Calibri" w:hAnsi="Calibri" w:eastAsia="Calibri"/>
          <w:b w:val="0"/>
          <w:color w:val="0F172A"/>
          <w:sz w:val="22"/>
        </w:rPr>
        <w:t>Les litiges sur l'exécution ou le paiement d'une prestation se règlent entre Client et Fournisseur. Toghinis peut faciliter la communication sans obligation de résultat.</w:t>
      </w:r>
    </w:p>
    <w:p>
      <w:pPr>
        <w:spacing w:line="276" w:lineRule="auto" w:after="100"/>
      </w:pPr>
      <w:r>
        <w:rPr>
          <w:rFonts w:ascii="Calibri" w:hAnsi="Calibri" w:eastAsia="Calibri"/>
          <w:b w:val="0"/>
          <w:color w:val="0F172A"/>
          <w:sz w:val="22"/>
        </w:rPr>
        <w:t>Dans les limites légales, responsabilité limitée aux dommages directs prouvés pour faute grave imputable à Toghinis, plafonnée le cas échéant aux sommes payées à Toghinis sur 12 mois au titre des services payants.</w:t>
      </w:r>
    </w:p>
    <w:p>
      <w:pPr>
        <w:spacing w:before="280" w:after="120"/>
      </w:pPr>
      <w:r>
        <w:rPr>
          <w:rFonts w:ascii="Calibri" w:hAnsi="Calibri" w:eastAsia="Calibri"/>
          <w:b/>
          <w:color w:val="1D4ED8"/>
          <w:sz w:val="32"/>
        </w:rPr>
        <w:t>16. Droit applicable et litiges</w:t>
      </w:r>
    </w:p>
    <w:p>
      <w:pPr>
        <w:pStyle w:val="ListBullet"/>
      </w:pPr>
      <w:r>
        <w:rPr>
          <w:rFonts w:ascii="Calibri" w:hAnsi="Calibri" w:eastAsia="Calibri"/>
          <w:b w:val="0"/>
          <w:color w:val="0F172A"/>
          <w:sz w:val="22"/>
        </w:rPr>
        <w:t>Droit applicable : droit togolais (sous réserve des protections consommateur du pays de résidence).</w:t>
      </w:r>
    </w:p>
    <w:p>
      <w:pPr>
        <w:pStyle w:val="ListBullet"/>
      </w:pPr>
      <w:r>
        <w:rPr>
          <w:rFonts w:ascii="Calibri" w:hAnsi="Calibri" w:eastAsia="Calibri"/>
          <w:b w:val="0"/>
          <w:color w:val="0F172A"/>
          <w:sz w:val="22"/>
        </w:rPr>
        <w:t>Règlement amiable prioritaire (30 jours après notification écrite).</w:t>
      </w:r>
    </w:p>
    <w:p>
      <w:pPr>
        <w:pStyle w:val="ListBullet"/>
      </w:pPr>
      <w:r>
        <w:rPr>
          <w:rFonts w:ascii="Calibri" w:hAnsi="Calibri" w:eastAsia="Calibri"/>
          <w:b w:val="0"/>
          <w:color w:val="0F172A"/>
          <w:sz w:val="22"/>
        </w:rPr>
        <w:t>À défaut : tribunaux du siège de Toghinis (à compléter), sous réserve des règles d'ordre public.</w:t>
      </w:r>
    </w:p>
    <w:p>
      <w:pPr>
        <w:pStyle w:val="ListBullet"/>
      </w:pPr>
      <w:r>
        <w:rPr>
          <w:rFonts w:ascii="Calibri" w:hAnsi="Calibri" w:eastAsia="Calibri"/>
          <w:b w:val="0"/>
          <w:color w:val="0F172A"/>
          <w:sz w:val="22"/>
        </w:rPr>
        <w:t>Litiges Client / Fournisseur : hors responsabilité directe de Toghinis.</w:t>
      </w:r>
    </w:p>
    <w:p>
      <w:pPr>
        <w:spacing w:before="280" w:after="120"/>
      </w:pPr>
      <w:r>
        <w:rPr>
          <w:rFonts w:ascii="Calibri" w:hAnsi="Calibri" w:eastAsia="Calibri"/>
          <w:b/>
          <w:color w:val="1D4ED8"/>
          <w:sz w:val="32"/>
        </w:rPr>
        <w:t>17. Modifications</w:t>
      </w:r>
    </w:p>
    <w:p>
      <w:pPr>
        <w:spacing w:line="276" w:lineRule="auto" w:after="100"/>
      </w:pPr>
      <w:r>
        <w:rPr>
          <w:rFonts w:ascii="Calibri" w:hAnsi="Calibri" w:eastAsia="Calibri"/>
          <w:b w:val="0"/>
          <w:color w:val="0F172A"/>
          <w:sz w:val="22"/>
        </w:rPr>
        <w:t>La version en vigueur est celle publiée avec sa date de mise à jour. Modifications substantielles : information possible par email, bandeau ou notification.</w:t>
      </w:r>
    </w:p>
    <w:p>
      <w:pPr>
        <w:spacing w:before="280" w:after="120"/>
      </w:pPr>
      <w:r>
        <w:rPr>
          <w:rFonts w:ascii="Calibri" w:hAnsi="Calibri" w:eastAsia="Calibri"/>
          <w:b/>
          <w:color w:val="1D4ED8"/>
          <w:sz w:val="32"/>
        </w:rPr>
        <w:t>18. Contact</w:t>
      </w:r>
    </w:p>
    <w:tbl>
      <w:tblPr>
        <w:tblStyle w:val="TableGrid"/>
        <w:tblW w:type="auto" w:w="0"/>
        <w:tblLook w:firstColumn="1" w:firstRow="1" w:lastColumn="0" w:lastRow="0" w:noHBand="0" w:noVBand="1" w:val="04A0"/>
      </w:tblPr>
      <w:tblGrid>
        <w:gridCol w:w="4703"/>
        <w:gridCol w:w="4703"/>
      </w:tblGrid>
      <w:tr>
        <w:tc>
          <w:tcPr>
            <w:tcW w:type="dxa" w:w="4703"/>
            <w:shd w:fill="1D4ED8" w:val="clear"/>
          </w:tcPr>
          <w:p>
            <w:r/>
            <w:r>
              <w:rPr>
                <w:rFonts w:ascii="Calibri" w:hAnsi="Calibri" w:eastAsia="Calibri"/>
                <w:b/>
                <w:color w:val="FFFFFF"/>
                <w:sz w:val="18"/>
              </w:rPr>
              <w:t>Objet</w:t>
            </w:r>
          </w:p>
        </w:tc>
        <w:tc>
          <w:tcPr>
            <w:tcW w:type="dxa" w:w="4703"/>
            <w:shd w:fill="1D4ED8" w:val="clear"/>
          </w:tcPr>
          <w:p>
            <w:r/>
            <w:r>
              <w:rPr>
                <w:rFonts w:ascii="Calibri" w:hAnsi="Calibri" w:eastAsia="Calibri"/>
                <w:b/>
                <w:color w:val="FFFFFF"/>
                <w:sz w:val="18"/>
              </w:rPr>
              <w:t>Coordonnées</w:t>
            </w:r>
          </w:p>
        </w:tc>
      </w:tr>
      <w:tr>
        <w:tc>
          <w:tcPr>
            <w:tcW w:type="dxa" w:w="4703"/>
          </w:tcPr>
          <w:p>
            <w:r/>
            <w:r>
              <w:rPr>
                <w:rFonts w:ascii="Calibri" w:hAnsi="Calibri" w:eastAsia="Calibri"/>
                <w:b w:val="0"/>
                <w:color w:val="0F172A"/>
                <w:sz w:val="18"/>
              </w:rPr>
              <w:t>Support / signalement</w:t>
            </w:r>
          </w:p>
        </w:tc>
        <w:tc>
          <w:tcPr>
            <w:tcW w:type="dxa" w:w="4703"/>
          </w:tcPr>
          <w:p>
            <w:r/>
            <w:r>
              <w:rPr>
                <w:rFonts w:ascii="Calibri" w:hAnsi="Calibri" w:eastAsia="Calibri"/>
                <w:b w:val="0"/>
                <w:color w:val="0F172A"/>
                <w:sz w:val="18"/>
              </w:rPr>
              <w:t>support@toghinis.com</w:t>
            </w:r>
          </w:p>
        </w:tc>
      </w:tr>
      <w:tr>
        <w:tc>
          <w:tcPr>
            <w:tcW w:type="dxa" w:w="4703"/>
            <w:shd w:fill="F1F5F9" w:val="clear"/>
          </w:tcPr>
          <w:p>
            <w:r/>
            <w:r>
              <w:rPr>
                <w:rFonts w:ascii="Calibri" w:hAnsi="Calibri" w:eastAsia="Calibri"/>
                <w:b w:val="0"/>
                <w:color w:val="0F172A"/>
                <w:sz w:val="18"/>
              </w:rPr>
              <w:t>Confidentialité</w:t>
            </w:r>
          </w:p>
        </w:tc>
        <w:tc>
          <w:tcPr>
            <w:tcW w:type="dxa" w:w="4703"/>
            <w:shd w:fill="F1F5F9" w:val="clear"/>
          </w:tcPr>
          <w:p>
            <w:r/>
            <w:r>
              <w:rPr>
                <w:rFonts w:ascii="Calibri" w:hAnsi="Calibri" w:eastAsia="Calibri"/>
                <w:b w:val="0"/>
                <w:color w:val="0F172A"/>
                <w:sz w:val="18"/>
              </w:rPr>
              <w:t>privacy@toghinis.com</w:t>
            </w:r>
          </w:p>
        </w:tc>
      </w:tr>
      <w:tr>
        <w:tc>
          <w:tcPr>
            <w:tcW w:type="dxa" w:w="4703"/>
          </w:tcPr>
          <w:p>
            <w:r/>
            <w:r>
              <w:rPr>
                <w:rFonts w:ascii="Calibri" w:hAnsi="Calibri" w:eastAsia="Calibri"/>
                <w:b w:val="0"/>
                <w:color w:val="0F172A"/>
                <w:sz w:val="18"/>
              </w:rPr>
              <w:t>Site</w:t>
            </w:r>
          </w:p>
        </w:tc>
        <w:tc>
          <w:tcPr>
            <w:tcW w:type="dxa" w:w="4703"/>
          </w:tcPr>
          <w:p>
            <w:r/>
            <w:r>
              <w:rPr>
                <w:rFonts w:ascii="Calibri" w:hAnsi="Calibri" w:eastAsia="Calibri"/>
                <w:b w:val="0"/>
                <w:color w:val="0F172A"/>
                <w:sz w:val="18"/>
              </w:rPr>
              <w:t>https://toghinis.com</w:t>
            </w:r>
          </w:p>
        </w:tc>
      </w:tr>
      <w:tr>
        <w:tc>
          <w:tcPr>
            <w:tcW w:type="dxa" w:w="4703"/>
            <w:shd w:fill="F1F5F9" w:val="clear"/>
          </w:tcPr>
          <w:p>
            <w:r/>
            <w:r>
              <w:rPr>
                <w:rFonts w:ascii="Calibri" w:hAnsi="Calibri" w:eastAsia="Calibri"/>
                <w:b w:val="0"/>
                <w:color w:val="0F172A"/>
                <w:sz w:val="18"/>
              </w:rPr>
              <w:t>Usage / CGU en ligne</w:t>
            </w:r>
          </w:p>
        </w:tc>
        <w:tc>
          <w:tcPr>
            <w:tcW w:type="dxa" w:w="4703"/>
            <w:shd w:fill="F1F5F9" w:val="clear"/>
          </w:tcPr>
          <w:p>
            <w:r/>
            <w:r>
              <w:rPr>
                <w:rFonts w:ascii="Calibri" w:hAnsi="Calibri" w:eastAsia="Calibri"/>
                <w:b w:val="0"/>
                <w:color w:val="0F172A"/>
                <w:sz w:val="18"/>
              </w:rPr>
              <w:t>https://toghinis.com/cgu</w:t>
            </w:r>
          </w:p>
        </w:tc>
      </w:tr>
      <w:tr>
        <w:tc>
          <w:tcPr>
            <w:tcW w:type="dxa" w:w="4703"/>
          </w:tcPr>
          <w:p>
            <w:r/>
            <w:r>
              <w:rPr>
                <w:rFonts w:ascii="Calibri" w:hAnsi="Calibri" w:eastAsia="Calibri"/>
                <w:b w:val="0"/>
                <w:color w:val="0F172A"/>
                <w:sz w:val="18"/>
              </w:rPr>
              <w:t>Confidentialité en ligne</w:t>
            </w:r>
          </w:p>
        </w:tc>
        <w:tc>
          <w:tcPr>
            <w:tcW w:type="dxa" w:w="4703"/>
          </w:tcPr>
          <w:p>
            <w:r/>
            <w:r>
              <w:rPr>
                <w:rFonts w:ascii="Calibri" w:hAnsi="Calibri" w:eastAsia="Calibri"/>
                <w:b w:val="0"/>
                <w:color w:val="0F172A"/>
                <w:sz w:val="18"/>
              </w:rPr>
              <w:t>https://toghinis.com/confidentialite</w:t>
            </w:r>
          </w:p>
        </w:tc>
      </w:tr>
    </w:tbl>
    <w:p/>
    <w:p>
      <w:pPr>
        <w:spacing w:before="280" w:after="120"/>
      </w:pPr>
      <w:r>
        <w:rPr>
          <w:rFonts w:ascii="Calibri" w:hAnsi="Calibri" w:eastAsia="Calibri"/>
          <w:b/>
          <w:color w:val="1D4ED8"/>
          <w:sz w:val="32"/>
        </w:rPr>
        <w:t>19. Résumé simple</w:t>
      </w:r>
    </w:p>
    <w:p>
      <w:pPr>
        <w:pStyle w:val="ListBullet"/>
      </w:pPr>
      <w:r>
        <w:rPr>
          <w:rFonts w:ascii="Calibri" w:hAnsi="Calibri" w:eastAsia="Calibri"/>
          <w:b w:val="0"/>
          <w:color w:val="0F172A"/>
          <w:sz w:val="22"/>
        </w:rPr>
        <w:t>Toghinis met en relation ; ce n'est pas l'exécutant de la prestation.</w:t>
      </w:r>
    </w:p>
    <w:p>
      <w:pPr>
        <w:pStyle w:val="ListBullet"/>
      </w:pPr>
      <w:r>
        <w:rPr>
          <w:rFonts w:ascii="Calibri" w:hAnsi="Calibri" w:eastAsia="Calibri"/>
          <w:b w:val="0"/>
          <w:color w:val="0F172A"/>
          <w:sz w:val="22"/>
        </w:rPr>
        <w:t>Infos exactes obligatoires ; respect des autres utilisateurs.</w:t>
      </w:r>
    </w:p>
    <w:p>
      <w:pPr>
        <w:pStyle w:val="ListBullet"/>
      </w:pPr>
      <w:r>
        <w:rPr>
          <w:rFonts w:ascii="Calibri" w:hAnsi="Calibri" w:eastAsia="Calibri"/>
          <w:b w:val="0"/>
          <w:color w:val="0F172A"/>
          <w:sz w:val="22"/>
        </w:rPr>
        <w:t>Matching, devis et messages pour collaborer ; paiement/exécution entre vous.</w:t>
      </w:r>
    </w:p>
    <w:p>
      <w:pPr>
        <w:pStyle w:val="ListBullet"/>
      </w:pPr>
      <w:r>
        <w:rPr>
          <w:rFonts w:ascii="Calibri" w:hAnsi="Calibri" w:eastAsia="Calibri"/>
          <w:b w:val="0"/>
          <w:color w:val="0F172A"/>
          <w:sz w:val="22"/>
        </w:rPr>
        <w:t>Abus = suspension possible.</w:t>
      </w:r>
    </w:p>
    <w:p>
      <w:pPr>
        <w:pStyle w:val="ListBullet"/>
      </w:pPr>
      <w:r>
        <w:rPr>
          <w:rFonts w:ascii="Calibri" w:hAnsi="Calibri" w:eastAsia="Calibri"/>
          <w:b w:val="0"/>
          <w:color w:val="0F172A"/>
          <w:sz w:val="22"/>
        </w:rPr>
        <w:t>Données personnelles : voir la politique de confidentialité.</w:t>
      </w:r>
    </w:p>
    <w:p>
      <w:pPr>
        <w:jc w:val="center"/>
      </w:pPr>
      <w:r>
        <w:rPr>
          <w:rFonts w:ascii="Calibri" w:hAnsi="Calibri" w:eastAsia="Calibri"/>
          <w:b w:val="0"/>
          <w:color w:val="64748B"/>
          <w:sz w:val="20"/>
        </w:rPr>
        <w:br/>
        <w:t>— Toghinis — Politique d'usage v1.0 — septembre 2026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