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5B3A"/>
          <w:sz w:val="72"/>
          <w:szCs w:val="72"/>
        </w:rPr>
        <w:t xml:space="preserve">AgriSense AI</w:t>
      </w:r>
    </w:p>
    <w:p>
      <w:pPr>
        <w:spacing w:before="300"/>
        <w:jc w:val="center"/>
      </w:pPr>
      <w:r>
        <w:rPr>
          <w:rFonts w:ascii="Calibri" w:cs="Calibri" w:eastAsia="Calibri" w:hAnsi="Calibri"/>
          <w:b/>
          <w:bCs/>
          <w:color w:val="3E8E5A"/>
          <w:sz w:val="36"/>
          <w:szCs w:val="36"/>
        </w:rPr>
        <w:t xml:space="preserve">AI Model Development Guide</w:t>
      </w:r>
    </w:p>
    <w:p>
      <w:pPr>
        <w:spacing w:before="150"/>
        <w:jc w:val="center"/>
      </w:pPr>
      <w:r>
        <w:rPr>
          <w:rFonts w:ascii="Calibri" w:cs="Calibri" w:eastAsia="Calibri" w:hAnsi="Calibri"/>
          <w:i/>
          <w:iCs/>
          <w:color w:val="222222"/>
          <w:sz w:val="26"/>
          <w:szCs w:val="26"/>
        </w:rPr>
        <w:t xml:space="preserve">Computer Vision and LLM Reasoning Strategy, Training Pipeline, and Evaluation Plan</w:t>
      </w:r>
    </w:p>
    <w:p>
      <w:pPr>
        <w:spacing w:before="800"/>
        <w:jc w:val="center"/>
      </w:pPr>
      <w:r>
        <w:rPr>
          <w:rFonts w:ascii="Calibri" w:cs="Calibri" w:eastAsia="Calibri" w:hAnsi="Calibri"/>
          <w:color w:val="222222"/>
          <w:sz w:val="22"/>
          <w:szCs w:val="22"/>
        </w:rPr>
        <w:t xml:space="preserve">Version 2.0  |  July 2026</w:t>
      </w:r>
    </w:p>
    <w:p>
      <w:r>
        <w:br w:type="page"/>
      </w:r>
    </w:p>
    <w:p>
      <w:pPr>
        <w:pStyle w:val="Heading1"/>
        <w:spacing w:after="200" w:before="400"/>
      </w:pPr>
      <w:r>
        <w:rPr>
          <w:rFonts w:ascii="Calibri" w:cs="Calibri" w:eastAsia="Calibri" w:hAnsi="Calibri"/>
          <w:b/>
          <w:bCs/>
          <w:color w:val="1F5B3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F5B3A"/>
          <w:sz w:val="32"/>
          <w:szCs w:val="32"/>
        </w:rPr>
        <w:t xml:space="preserve">1. Purpose and Scope</w:t>
      </w:r>
    </w:p>
    <w:p>
      <w:pPr>
        <w:spacing w:after="200" w:line="276"/>
      </w:pPr>
      <w:r>
        <w:rPr>
          <w:rFonts w:ascii="Calibri" w:cs="Calibri" w:eastAsia="Calibri" w:hAnsi="Calibri"/>
          <w:color w:val="222222"/>
          <w:sz w:val="22"/>
          <w:szCs w:val="22"/>
        </w:rPr>
        <w:t xml:space="preserve">This document is the authoritative reference for the complete AI strategy behind AgriSense AI. It explains how many models are trained, which technologies are used, where training happens, how the resulting models interact with the backend, and — critically — when a Large Language Model should be used instead of a custom-trained machine learning model. It expands the original Model Development Guide into a full specification covering dataset handling, architecture selection, training methodology, evaluation, deployment, prompt design for the reasoning layer, and ongoing model governance.</w:t>
      </w:r>
    </w:p>
    <w:p>
      <w:pPr>
        <w:pStyle w:val="Heading2"/>
        <w:spacing w:after="150" w:before="300"/>
      </w:pPr>
      <w:r>
        <w:rPr>
          <w:rFonts w:ascii="Calibri" w:cs="Calibri" w:eastAsia="Calibri" w:hAnsi="Calibri"/>
          <w:b/>
          <w:bCs/>
          <w:color w:val="1F5B3A"/>
          <w:sz w:val="26"/>
          <w:szCs w:val="26"/>
        </w:rPr>
        <w:t xml:space="preserve">1.1 Why This Split Between CV and LLM Matters</w:t>
      </w:r>
    </w:p>
    <w:p>
      <w:pPr>
        <w:spacing w:after="200" w:line="276"/>
      </w:pPr>
      <w:r>
        <w:rPr>
          <w:rFonts w:ascii="Calibri" w:cs="Calibri" w:eastAsia="Calibri" w:hAnsi="Calibri"/>
          <w:color w:val="222222"/>
          <w:sz w:val="22"/>
          <w:szCs w:val="22"/>
        </w:rPr>
        <w:t xml:space="preserve">A common mistake in applied AI projects is to either (a) train a separate custom model for every decision the system needs to make, which is expensive, slow, and hard to keep accurate across many narrow tasks, or (b) hand everything to a general-purpose LLM, including tasks like image classification where it is neither the most accurate nor the most efficient tool. AgriSense AI deliberately avoids both extremes: exactly one custom computer vision model is trained, for the one task that benefits most from a dedicated model — visual pattern recognition on leaf images — and every other reasoning task is delegated to an LLM that is given rich, structured, verified context rather than being asked to guess.</w:t>
      </w:r>
    </w:p>
    <w:p>
      <w:r>
        <w:br w:type="page"/>
      </w:r>
    </w:p>
    <w:p>
      <w:pPr>
        <w:pStyle w:val="Heading1"/>
        <w:spacing w:after="200" w:before="400"/>
      </w:pPr>
      <w:r>
        <w:rPr>
          <w:rFonts w:ascii="Calibri" w:cs="Calibri" w:eastAsia="Calibri" w:hAnsi="Calibri"/>
          <w:b/>
          <w:bCs/>
          <w:color w:val="1F5B3A"/>
          <w:sz w:val="32"/>
          <w:szCs w:val="32"/>
        </w:rPr>
        <w:t xml:space="preserve">2. Recommended AI Architecture</w:t>
      </w:r>
    </w:p>
    <w:p>
      <w:pPr>
        <w:spacing w:after="200" w:line="276"/>
      </w:pPr>
      <w:r>
        <w:rPr>
          <w:rFonts w:ascii="Calibri" w:cs="Calibri" w:eastAsia="Calibri" w:hAnsi="Calibri"/>
          <w:color w:val="222222"/>
          <w:sz w:val="22"/>
          <w:szCs w:val="22"/>
        </w:rPr>
        <w:t xml:space="preserve">Only one custom Computer Vision model is trained initially. This model identifies the crop, disease, confidence score, and — optionally — severity. All remaining recommendations, including fertilizer guidance, pesticide guidance, irrigation scheduling refinement, crop planning, and farmer conversation, are generated by an LLM using context assembled from sensors, weather, and farm history.</w:t>
      </w:r>
    </w:p>
    <w:p>
      <w:pPr>
        <w:pStyle w:val="Heading2"/>
        <w:spacing w:after="150" w:before="300"/>
      </w:pPr>
      <w:r>
        <w:rPr>
          <w:rFonts w:ascii="Calibri" w:cs="Calibri" w:eastAsia="Calibri" w:hAnsi="Calibri"/>
          <w:b/>
          <w:bCs/>
          <w:color w:val="1F5B3A"/>
          <w:sz w:val="26"/>
          <w:szCs w:val="26"/>
        </w:rPr>
        <w:t xml:space="preserve">2.1 Component Responsibility Table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337"/>
        <w:gridCol w:w="2337"/>
        <w:gridCol w:w="2337"/>
        <w:gridCol w:w="2339"/>
      </w:tblGrid>
      <w:tr>
        <w:trPr>
          <w:tblHeader/>
        </w:trPr>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Component</w:t>
            </w:r>
          </w:p>
        </w:tc>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Technology</w:t>
            </w:r>
          </w:p>
        </w:tc>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Train Yourself?</w:t>
            </w:r>
          </w:p>
        </w:tc>
        <w:tc>
          <w:tcPr>
            <w:tcW w:type="dxa" w:w="2339"/>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Rationale</w:t>
            </w:r>
          </w:p>
        </w:tc>
      </w:tr>
      <w:tr>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Plant/Disease Detection</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EfficientNet-B3/B4 (PyTorch)</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Yes</w:t>
            </w:r>
          </w:p>
        </w:tc>
        <w:tc>
          <w:tcPr>
            <w:tcW w:type="dxa" w:w="2339"/>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Well-defined, image-in/label-out task with strong public datasets; a dedicated model is more accurate, cheaper per call, and faster than an LLM for this narrow visual task.</w:t>
            </w:r>
          </w:p>
        </w:tc>
      </w:tr>
      <w:tr>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Disease Severity</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Rule Engine or LLM</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w:t>
            </w:r>
          </w:p>
        </w:tc>
        <w:tc>
          <w:tcPr>
            <w:tcW w:type="dxa" w:w="2339"/>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Severity estimation benefits from reasoning over confidence + context; a rule engine is a reasonable first pass, upgradeable to LLM-assisted severity later.</w:t>
            </w:r>
          </w:p>
        </w:tc>
      </w:tr>
      <w:tr>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Crop Recommendation</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Gemini / Claude / GPT</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No</w:t>
            </w:r>
          </w:p>
        </w:tc>
        <w:tc>
          <w:tcPr>
            <w:tcW w:type="dxa" w:w="2339"/>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Open-ended reasoning over farm profile and conditions; not a well-bounded classification problem.</w:t>
            </w:r>
          </w:p>
        </w:tc>
      </w:tr>
      <w:tr>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Fertilizer Recommendation</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Gemini / Claude / GPT</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w:t>
            </w:r>
          </w:p>
        </w:tc>
        <w:tc>
          <w:tcPr>
            <w:tcW w:type="dxa" w:w="2339"/>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Requires combining crop stage, soil/sensor data, and detected disease — general reasoning, not pattern recognition.</w:t>
            </w:r>
          </w:p>
        </w:tc>
      </w:tr>
      <w:tr>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Pesticide Recommendation</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Gemini / Claude / GPT</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No</w:t>
            </w:r>
          </w:p>
        </w:tc>
        <w:tc>
          <w:tcPr>
            <w:tcW w:type="dxa" w:w="2339"/>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Requires nuanced, safety-aware reasoning and natural language explanation.</w:t>
            </w:r>
          </w:p>
        </w:tc>
      </w:tr>
      <w:tr>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Farmer Chat</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Gemini / Claude / GPT</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w:t>
            </w:r>
          </w:p>
        </w:tc>
        <w:tc>
          <w:tcPr>
            <w:tcW w:type="dxa" w:w="2339"/>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Open-ended natural language interaction is squarely an LLM strength.</w:t>
            </w:r>
          </w:p>
        </w:tc>
      </w:tr>
      <w:tr>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Yield Prediction (Future)</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XGBoost / Random Forest</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Optional</w:t>
            </w:r>
          </w:p>
        </w:tc>
        <w:tc>
          <w:tcPr>
            <w:tcW w:type="dxa" w:w="2339"/>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Tabular regression task suited to classical ML once sufficient historical yield data exists; deferred to a future phase.</w:t>
            </w:r>
          </w:p>
        </w:tc>
      </w:tr>
    </w:tbl>
    <w:p>
      <w:pPr>
        <w:spacing w:after="200"/>
      </w:pPr>
    </w:p>
    <w:p>
      <w:pPr>
        <w:pStyle w:val="Heading2"/>
        <w:spacing w:after="150" w:before="300"/>
      </w:pPr>
      <w:r>
        <w:rPr>
          <w:rFonts w:ascii="Calibri" w:cs="Calibri" w:eastAsia="Calibri" w:hAnsi="Calibri"/>
          <w:b/>
          <w:bCs/>
          <w:color w:val="1F5B3A"/>
          <w:sz w:val="26"/>
          <w:szCs w:val="26"/>
        </w:rPr>
        <w:t xml:space="preserve">2.2 Decision Rule for Future Components</w:t>
      </w:r>
    </w:p>
    <w:p>
      <w:pPr>
        <w:spacing w:after="200" w:line="276"/>
      </w:pPr>
      <w:r>
        <w:rPr>
          <w:rFonts w:ascii="Calibri" w:cs="Calibri" w:eastAsia="Calibri" w:hAnsi="Calibri"/>
          <w:color w:val="222222"/>
          <w:sz w:val="22"/>
          <w:szCs w:val="22"/>
        </w:rPr>
        <w:t xml:space="preserve">When a new capability is proposed for AgriSense AI, it should be routed to a custom-trained model only if it is (a) a narrow, well-bounded prediction task, (b) has or can obtain a sufficiently large labeled dataset, and (c) benefits meaningfully from per-inference cost/latency savings over an LLM call. Otherwise, it should be routed to the LLM reasoning layer with appropriate structured context, following the same Decision Engine pattern used for the current recommendation features.</w:t>
      </w:r>
    </w:p>
    <w:p>
      <w:r>
        <w:br w:type="page"/>
      </w:r>
    </w:p>
    <w:p>
      <w:pPr>
        <w:pStyle w:val="Heading1"/>
        <w:spacing w:after="200" w:before="400"/>
      </w:pPr>
      <w:r>
        <w:rPr>
          <w:rFonts w:ascii="Calibri" w:cs="Calibri" w:eastAsia="Calibri" w:hAnsi="Calibri"/>
          <w:b/>
          <w:bCs/>
          <w:color w:val="1F5B3A"/>
          <w:sz w:val="32"/>
          <w:szCs w:val="32"/>
        </w:rPr>
        <w:t xml:space="preserve">3. Complete AI Pipeline Overview</w:t>
      </w:r>
    </w:p>
    <w:p>
      <w:pPr>
        <w:spacing w:after="200" w:line="276"/>
      </w:pPr>
      <w:r>
        <w:rPr>
          <w:rFonts w:ascii="Calibri" w:cs="Calibri" w:eastAsia="Calibri" w:hAnsi="Calibri"/>
          <w:color w:val="222222"/>
          <w:sz w:val="22"/>
          <w:szCs w:val="22"/>
        </w:rPr>
        <w:t xml:space="preserve">The full pipeline flows as follows: a leaf image is passed through the EfficientNet model, producing a plant, disease, and confidence score. This output is sent to the FastAPI backend, where it is combined with live sensor data, the current weather forecast, the farm profile, and recent crop/prediction history inside a Decision Engine. The Decision Engine sends this assembled context to the selected LLM (Gemini/Claude/GPT), which returns a personalized recommendation. That recommendation is returned to both the website and the mobile app for display, and is persisted for historical reporting.</w:t>
      </w:r>
    </w:p>
    <w:p>
      <w:pPr>
        <w:pStyle w:val="Heading2"/>
        <w:spacing w:after="150" w:before="300"/>
      </w:pPr>
      <w:r>
        <w:rPr>
          <w:rFonts w:ascii="Calibri" w:cs="Calibri" w:eastAsia="Calibri" w:hAnsi="Calibri"/>
          <w:b/>
          <w:bCs/>
          <w:color w:val="1F5B3A"/>
          <w:sz w:val="26"/>
          <w:szCs w:val="26"/>
        </w:rPr>
        <w:t xml:space="preserve">3.1 Technology Stack Summary</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Layer</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Technology</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Training</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Google Colab / Kaggle Notebooks (GPU-backed)</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Framework</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PyTorch</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Language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Python</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Backend</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FastAPI</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Database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PostgreSQL (Supabase)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Authentication</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Supabase Auth</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Storage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Supabase Storage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Website</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Next.js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Mobile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React Native (Expo)</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Reasoning</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Gemini / Claude / GPT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Deployment</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Railway / AWS</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4. Dataset Strategy</w:t>
      </w:r>
    </w:p>
    <w:p>
      <w:pPr>
        <w:pStyle w:val="Heading2"/>
        <w:spacing w:after="150" w:before="300"/>
      </w:pPr>
      <w:r>
        <w:rPr>
          <w:rFonts w:ascii="Calibri" w:cs="Calibri" w:eastAsia="Calibri" w:hAnsi="Calibri"/>
          <w:b/>
          <w:bCs/>
          <w:color w:val="1F5B3A"/>
          <w:sz w:val="26"/>
          <w:szCs w:val="26"/>
        </w:rPr>
        <w:t xml:space="preserve">4.1 Source Datasets</w:t>
      </w:r>
    </w:p>
    <w:p>
      <w:pPr>
        <w:pStyle w:val="ListParagraph"/>
        <w:numPr>
          <w:ilvl w:val="0"/>
          <w:numId w:val="2"/>
        </w:numPr>
        <w:spacing w:after="120"/>
      </w:pPr>
      <w:r>
        <w:rPr>
          <w:rFonts w:ascii="Calibri" w:cs="Calibri" w:eastAsia="Calibri" w:hAnsi="Calibri"/>
          <w:color w:val="222222"/>
          <w:sz w:val="22"/>
          <w:szCs w:val="22"/>
        </w:rPr>
        <w:t xml:space="preserve">PlantVillage — a large, relatively clean dataset of labeled leaf images across many crop species and disease categories, widely used as a baseline for plant disease classification research.</w:t>
      </w:r>
    </w:p>
    <w:p>
      <w:pPr>
        <w:pStyle w:val="ListParagraph"/>
        <w:numPr>
          <w:ilvl w:val="0"/>
          <w:numId w:val="2"/>
        </w:numPr>
        <w:spacing w:after="120"/>
      </w:pPr>
      <w:r>
        <w:rPr>
          <w:rFonts w:ascii="Calibri" w:cs="Calibri" w:eastAsia="Calibri" w:hAnsi="Calibri"/>
          <w:color w:val="222222"/>
          <w:sz w:val="22"/>
          <w:szCs w:val="22"/>
        </w:rPr>
        <w:t xml:space="preserve">PlantDoc — a smaller, more challenging dataset captured in real, non-laboratory field conditions, useful for improving robustness to real-world lighting, background clutter, and image quality.</w:t>
      </w:r>
    </w:p>
    <w:p>
      <w:pPr>
        <w:pStyle w:val="Heading2"/>
        <w:spacing w:after="150" w:before="300"/>
      </w:pPr>
      <w:r>
        <w:rPr>
          <w:rFonts w:ascii="Calibri" w:cs="Calibri" w:eastAsia="Calibri" w:hAnsi="Calibri"/>
          <w:b/>
          <w:bCs/>
          <w:color w:val="1F5B3A"/>
          <w:sz w:val="26"/>
          <w:szCs w:val="26"/>
        </w:rPr>
        <w:t xml:space="preserve">4.2 Dataset Preparation Steps</w:t>
      </w:r>
    </w:p>
    <w:p>
      <w:pPr>
        <w:pStyle w:val="ListParagraph"/>
        <w:numPr>
          <w:ilvl w:val="0"/>
          <w:numId w:val="3"/>
        </w:numPr>
        <w:spacing w:after="120"/>
      </w:pPr>
      <w:r>
        <w:rPr>
          <w:rFonts w:ascii="Calibri" w:cs="Calibri" w:eastAsia="Calibri" w:hAnsi="Calibri"/>
          <w:color w:val="222222"/>
          <w:sz w:val="22"/>
          <w:szCs w:val="22"/>
        </w:rPr>
        <w:t xml:space="preserve">Download and inventory both datasets, recording class names, image counts per class, and any licensing/attribution requirements.</w:t>
      </w:r>
    </w:p>
    <w:p>
      <w:pPr>
        <w:pStyle w:val="ListParagraph"/>
        <w:numPr>
          <w:ilvl w:val="0"/>
          <w:numId w:val="3"/>
        </w:numPr>
        <w:spacing w:after="120"/>
      </w:pPr>
      <w:r>
        <w:rPr>
          <w:rFonts w:ascii="Calibri" w:cs="Calibri" w:eastAsia="Calibri" w:hAnsi="Calibri"/>
          <w:color w:val="222222"/>
          <w:sz w:val="22"/>
          <w:szCs w:val="22"/>
        </w:rPr>
        <w:t xml:space="preserve">Reconcile class naming differences between the two datasets (e.g., inconsistent capitalization or disease naming conventions) into a single unified label taxonomy.</w:t>
      </w:r>
    </w:p>
    <w:p>
      <w:pPr>
        <w:pStyle w:val="ListParagraph"/>
        <w:numPr>
          <w:ilvl w:val="0"/>
          <w:numId w:val="3"/>
        </w:numPr>
        <w:spacing w:after="120"/>
      </w:pPr>
      <w:r>
        <w:rPr>
          <w:rFonts w:ascii="Calibri" w:cs="Calibri" w:eastAsia="Calibri" w:hAnsi="Calibri"/>
          <w:color w:val="222222"/>
          <w:sz w:val="22"/>
          <w:szCs w:val="22"/>
        </w:rPr>
        <w:t xml:space="preserve">Remove duplicate or near-duplicate images (a concern especially where PlantVillage and PlantDoc overlap in species).</w:t>
      </w:r>
    </w:p>
    <w:p>
      <w:pPr>
        <w:pStyle w:val="ListParagraph"/>
        <w:numPr>
          <w:ilvl w:val="0"/>
          <w:numId w:val="3"/>
        </w:numPr>
        <w:spacing w:after="120"/>
      </w:pPr>
      <w:r>
        <w:rPr>
          <w:rFonts w:ascii="Calibri" w:cs="Calibri" w:eastAsia="Calibri" w:hAnsi="Calibri"/>
          <w:color w:val="222222"/>
          <w:sz w:val="22"/>
          <w:szCs w:val="22"/>
        </w:rPr>
        <w:t xml:space="preserve">Manually spot-check a sample of each class for mislabeling; remove or relabel clearly incorrect samples.</w:t>
      </w:r>
    </w:p>
    <w:p>
      <w:pPr>
        <w:pStyle w:val="ListParagraph"/>
        <w:numPr>
          <w:ilvl w:val="0"/>
          <w:numId w:val="3"/>
        </w:numPr>
        <w:spacing w:after="120"/>
      </w:pPr>
      <w:r>
        <w:rPr>
          <w:rFonts w:ascii="Calibri" w:cs="Calibri" w:eastAsia="Calibri" w:hAnsi="Calibri"/>
          <w:color w:val="222222"/>
          <w:sz w:val="22"/>
          <w:szCs w:val="22"/>
        </w:rPr>
        <w:t xml:space="preserve">Organize images into a directory-per-class structure suitable for standard PyTorch ImageFolder-style loading.</w:t>
      </w:r>
    </w:p>
    <w:p>
      <w:pPr>
        <w:pStyle w:val="ListParagraph"/>
        <w:numPr>
          <w:ilvl w:val="0"/>
          <w:numId w:val="3"/>
        </w:numPr>
        <w:spacing w:after="120"/>
      </w:pPr>
      <w:r>
        <w:rPr>
          <w:rFonts w:ascii="Calibri" w:cs="Calibri" w:eastAsia="Calibri" w:hAnsi="Calibri"/>
          <w:color w:val="222222"/>
          <w:sz w:val="22"/>
          <w:szCs w:val="22"/>
        </w:rPr>
        <w:t xml:space="preserve">Compute class distribution and identify underrepresented classes for targeted augmentation or potential exclusion from v1 scope.</w:t>
      </w:r>
    </w:p>
    <w:p>
      <w:pPr>
        <w:pStyle w:val="Heading2"/>
        <w:spacing w:after="150" w:before="300"/>
      </w:pPr>
      <w:r>
        <w:rPr>
          <w:rFonts w:ascii="Calibri" w:cs="Calibri" w:eastAsia="Calibri" w:hAnsi="Calibri"/>
          <w:b/>
          <w:bCs/>
          <w:color w:val="1F5B3A"/>
          <w:sz w:val="26"/>
          <w:szCs w:val="26"/>
        </w:rPr>
        <w:t xml:space="preserve">4.3 Preprocessing and Augmentation</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Step</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Detail</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Resizing</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Resize all images to the input resolution expected by the chosen EfficientNet variant (e.g., 300x300 for B3, 380x380 for B4).</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Normalization</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Normalize pixel values using ImageNet mean/std statistics, matching the pretrained backbone's expectations.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Augmentation (training only)</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Random horizontal flip, small rotation (±15°), color jitter (brightness/contrast/saturation), and random crop/resize to improve generalization to field conditions.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Held-out evaluation</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Validation and test splits use only resizing and normalization — no augmentation — to measure true generalization performance.</w:t>
            </w:r>
          </w:p>
        </w:tc>
      </w:tr>
    </w:tbl>
    <w:p>
      <w:pPr>
        <w:spacing w:after="200"/>
      </w:pPr>
    </w:p>
    <w:p>
      <w:pPr>
        <w:pStyle w:val="Heading2"/>
        <w:spacing w:after="150" w:before="300"/>
      </w:pPr>
      <w:r>
        <w:rPr>
          <w:rFonts w:ascii="Calibri" w:cs="Calibri" w:eastAsia="Calibri" w:hAnsi="Calibri"/>
          <w:b/>
          <w:bCs/>
          <w:color w:val="1F5B3A"/>
          <w:sz w:val="26"/>
          <w:szCs w:val="26"/>
        </w:rPr>
        <w:t xml:space="preserve">4.4 Data Splitting</w:t>
      </w:r>
    </w:p>
    <w:p>
      <w:pPr>
        <w:pStyle w:val="ListParagraph"/>
        <w:numPr>
          <w:ilvl w:val="0"/>
          <w:numId w:val="2"/>
        </w:numPr>
        <w:spacing w:after="120"/>
      </w:pPr>
      <w:r>
        <w:rPr>
          <w:rFonts w:ascii="Calibri" w:cs="Calibri" w:eastAsia="Calibri" w:hAnsi="Calibri"/>
          <w:color w:val="222222"/>
          <w:sz w:val="22"/>
          <w:szCs w:val="22"/>
        </w:rPr>
        <w:t xml:space="preserve">Split into approximately 70% train / 15% validation / 15% test, stratified by class to preserve class balance across splits.</w:t>
      </w:r>
    </w:p>
    <w:p>
      <w:pPr>
        <w:pStyle w:val="ListParagraph"/>
        <w:numPr>
          <w:ilvl w:val="0"/>
          <w:numId w:val="2"/>
        </w:numPr>
        <w:spacing w:after="120"/>
      </w:pPr>
      <w:r>
        <w:rPr>
          <w:rFonts w:ascii="Calibri" w:cs="Calibri" w:eastAsia="Calibri" w:hAnsi="Calibri"/>
          <w:color w:val="222222"/>
          <w:sz w:val="22"/>
          <w:szCs w:val="22"/>
        </w:rPr>
        <w:t xml:space="preserve">Ensure that near-duplicate images of the same physical leaf (if any) do not leak across splits, to avoid inflated validation/test metrics.</w:t>
      </w:r>
    </w:p>
    <w:p>
      <w:pPr>
        <w:pStyle w:val="ListParagraph"/>
        <w:numPr>
          <w:ilvl w:val="0"/>
          <w:numId w:val="2"/>
        </w:numPr>
        <w:spacing w:after="120"/>
      </w:pPr>
      <w:r>
        <w:rPr>
          <w:rFonts w:ascii="Calibri" w:cs="Calibri" w:eastAsia="Calibri" w:hAnsi="Calibri"/>
          <w:color w:val="222222"/>
          <w:sz w:val="22"/>
          <w:szCs w:val="22"/>
        </w:rPr>
        <w:t xml:space="preserve">Reserve the test split exclusively for final evaluation; use only the validation split for hyperparameter tuning and early stopping decisions.</w:t>
      </w:r>
    </w:p>
    <w:p>
      <w:r>
        <w:br w:type="page"/>
      </w:r>
    </w:p>
    <w:p>
      <w:pPr>
        <w:pStyle w:val="Heading1"/>
        <w:spacing w:after="200" w:before="400"/>
      </w:pPr>
      <w:r>
        <w:rPr>
          <w:rFonts w:ascii="Calibri" w:cs="Calibri" w:eastAsia="Calibri" w:hAnsi="Calibri"/>
          <w:b/>
          <w:bCs/>
          <w:color w:val="1F5B3A"/>
          <w:sz w:val="32"/>
          <w:szCs w:val="32"/>
        </w:rPr>
        <w:t xml:space="preserve">5. Model Architecture Selection</w:t>
      </w:r>
    </w:p>
    <w:p>
      <w:pPr>
        <w:pStyle w:val="Heading2"/>
        <w:spacing w:after="150" w:before="300"/>
      </w:pPr>
      <w:r>
        <w:rPr>
          <w:rFonts w:ascii="Calibri" w:cs="Calibri" w:eastAsia="Calibri" w:hAnsi="Calibri"/>
          <w:b/>
          <w:bCs/>
          <w:color w:val="1F5B3A"/>
          <w:sz w:val="26"/>
          <w:szCs w:val="26"/>
        </w:rPr>
        <w:t xml:space="preserve">5.1 Why EfficientNet</w:t>
      </w:r>
    </w:p>
    <w:p>
      <w:pPr>
        <w:spacing w:after="200" w:line="276"/>
      </w:pPr>
      <w:r>
        <w:rPr>
          <w:rFonts w:ascii="Calibri" w:cs="Calibri" w:eastAsia="Calibri" w:hAnsi="Calibri"/>
          <w:color w:val="222222"/>
          <w:sz w:val="22"/>
          <w:szCs w:val="22"/>
        </w:rPr>
        <w:t xml:space="preserve">EfficientNet architectures scale depth, width, and resolution jointly using a compound scaling method, achieving strong accuracy relative to parameter count and inference cost compared to older architectures of similar or larger size. This makes EfficientNet-B3/B4 a practical choice for a project trained on Colab-scale GPU resources and later served in a latency-sensitive FastAPI endpoint.</w:t>
      </w:r>
    </w:p>
    <w:p>
      <w:pPr>
        <w:pStyle w:val="Heading2"/>
        <w:spacing w:after="150" w:before="300"/>
      </w:pPr>
      <w:r>
        <w:rPr>
          <w:rFonts w:ascii="Calibri" w:cs="Calibri" w:eastAsia="Calibri" w:hAnsi="Calibri"/>
          <w:b/>
          <w:bCs/>
          <w:color w:val="1F5B3A"/>
          <w:sz w:val="26"/>
          <w:szCs w:val="26"/>
        </w:rPr>
        <w:t xml:space="preserve">5.2 B3 vs. B4 Trade-off</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337"/>
        <w:gridCol w:w="2337"/>
        <w:gridCol w:w="2337"/>
        <w:gridCol w:w="2339"/>
      </w:tblGrid>
      <w:tr>
        <w:trPr>
          <w:tblHeader/>
        </w:trPr>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Variant</w:t>
            </w:r>
          </w:p>
        </w:tc>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Relative Accuracy</w:t>
            </w:r>
          </w:p>
        </w:tc>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Relative Compute Cost</w:t>
            </w:r>
          </w:p>
        </w:tc>
        <w:tc>
          <w:tcPr>
            <w:tcW w:type="dxa" w:w="2339"/>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Recommended When</w:t>
            </w:r>
          </w:p>
        </w:tc>
      </w:tr>
      <w:tr>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EfficientNet-B3</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Strong</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Lower</w:t>
            </w:r>
          </w:p>
        </w:tc>
        <w:tc>
          <w:tcPr>
            <w:tcW w:type="dxa" w:w="2339"/>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Faster iteration during early experimentation; tighter inference latency budget.</w:t>
            </w:r>
          </w:p>
        </w:tc>
      </w:tr>
      <w:tr>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EfficientNet-B4</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Higher</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Higher</w:t>
            </w:r>
          </w:p>
        </w:tc>
        <w:tc>
          <w:tcPr>
            <w:tcW w:type="dxa" w:w="2339"/>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Final production model once the pipeline and dataset are stable and a modest latency increase is acceptable.</w:t>
            </w:r>
          </w:p>
        </w:tc>
      </w:tr>
    </w:tbl>
    <w:p>
      <w:pPr>
        <w:spacing w:after="200"/>
      </w:pPr>
    </w:p>
    <w:p>
      <w:pPr>
        <w:pStyle w:val="Heading2"/>
        <w:spacing w:after="150" w:before="300"/>
      </w:pPr>
      <w:r>
        <w:rPr>
          <w:rFonts w:ascii="Calibri" w:cs="Calibri" w:eastAsia="Calibri" w:hAnsi="Calibri"/>
          <w:b/>
          <w:bCs/>
          <w:color w:val="1F5B3A"/>
          <w:sz w:val="26"/>
          <w:szCs w:val="26"/>
        </w:rPr>
        <w:t xml:space="preserve">5.3 Transfer Learning Approach</w:t>
      </w:r>
    </w:p>
    <w:p>
      <w:pPr>
        <w:pStyle w:val="ListParagraph"/>
        <w:numPr>
          <w:ilvl w:val="0"/>
          <w:numId w:val="3"/>
        </w:numPr>
        <w:spacing w:after="120"/>
      </w:pPr>
      <w:r>
        <w:rPr>
          <w:rFonts w:ascii="Calibri" w:cs="Calibri" w:eastAsia="Calibri" w:hAnsi="Calibri"/>
          <w:color w:val="222222"/>
          <w:sz w:val="22"/>
          <w:szCs w:val="22"/>
        </w:rPr>
        <w:t xml:space="preserve">Initialize the backbone with ImageNet-pretrained weights rather than training from scratch.</w:t>
      </w:r>
    </w:p>
    <w:p>
      <w:pPr>
        <w:pStyle w:val="ListParagraph"/>
        <w:numPr>
          <w:ilvl w:val="0"/>
          <w:numId w:val="3"/>
        </w:numPr>
        <w:spacing w:after="120"/>
      </w:pPr>
      <w:r>
        <w:rPr>
          <w:rFonts w:ascii="Calibri" w:cs="Calibri" w:eastAsia="Calibri" w:hAnsi="Calibri"/>
          <w:color w:val="222222"/>
          <w:sz w:val="22"/>
          <w:szCs w:val="22"/>
        </w:rPr>
        <w:t xml:space="preserve">Replace the final classification head with a new fully-connected layer sized to the unified plant/disease class taxonomy.</w:t>
      </w:r>
    </w:p>
    <w:p>
      <w:pPr>
        <w:pStyle w:val="ListParagraph"/>
        <w:numPr>
          <w:ilvl w:val="0"/>
          <w:numId w:val="3"/>
        </w:numPr>
        <w:spacing w:after="120"/>
      </w:pPr>
      <w:r>
        <w:rPr>
          <w:rFonts w:ascii="Calibri" w:cs="Calibri" w:eastAsia="Calibri" w:hAnsi="Calibri"/>
          <w:color w:val="222222"/>
          <w:sz w:val="22"/>
          <w:szCs w:val="22"/>
        </w:rPr>
        <w:t xml:space="preserve">Initially freeze the backbone and train only the new head for a small number of epochs to stabilize the new classifier weights.</w:t>
      </w:r>
    </w:p>
    <w:p>
      <w:pPr>
        <w:pStyle w:val="ListParagraph"/>
        <w:numPr>
          <w:ilvl w:val="0"/>
          <w:numId w:val="3"/>
        </w:numPr>
        <w:spacing w:after="120"/>
      </w:pPr>
      <w:r>
        <w:rPr>
          <w:rFonts w:ascii="Calibri" w:cs="Calibri" w:eastAsia="Calibri" w:hAnsi="Calibri"/>
          <w:color w:val="222222"/>
          <w:sz w:val="22"/>
          <w:szCs w:val="22"/>
        </w:rPr>
        <w:t xml:space="preserve">Unfreeze the top backbone blocks and fine-tune the whole network at a lower learning rate for the remaining training budget.</w:t>
      </w:r>
    </w:p>
    <w:p>
      <w:pPr>
        <w:pStyle w:val="ListParagraph"/>
        <w:numPr>
          <w:ilvl w:val="0"/>
          <w:numId w:val="3"/>
        </w:numPr>
        <w:spacing w:after="120"/>
      </w:pPr>
      <w:r>
        <w:rPr>
          <w:rFonts w:ascii="Calibri" w:cs="Calibri" w:eastAsia="Calibri" w:hAnsi="Calibri"/>
          <w:color w:val="222222"/>
          <w:sz w:val="22"/>
          <w:szCs w:val="22"/>
        </w:rPr>
        <w:t xml:space="preserve">Apply learning-rate scheduling (e.g., cosine decay or step decay) and early stopping based on validation loss/F1 to avoid overfitting.</w:t>
      </w:r>
    </w:p>
    <w:p>
      <w:r>
        <w:br w:type="page"/>
      </w:r>
    </w:p>
    <w:p>
      <w:pPr>
        <w:pStyle w:val="Heading1"/>
        <w:spacing w:after="200" w:before="400"/>
      </w:pPr>
      <w:r>
        <w:rPr>
          <w:rFonts w:ascii="Calibri" w:cs="Calibri" w:eastAsia="Calibri" w:hAnsi="Calibri"/>
          <w:b/>
          <w:bCs/>
          <w:color w:val="1F5B3A"/>
          <w:sz w:val="32"/>
          <w:szCs w:val="32"/>
        </w:rPr>
        <w:t xml:space="preserve">6. Model Training Workflow</w:t>
      </w:r>
    </w:p>
    <w:p>
      <w:pPr>
        <w:spacing w:after="200" w:line="276"/>
      </w:pPr>
      <w:r>
        <w:rPr>
          <w:rFonts w:ascii="Calibri" w:cs="Calibri" w:eastAsia="Calibri" w:hAnsi="Calibri"/>
          <w:color w:val="222222"/>
          <w:sz w:val="22"/>
          <w:szCs w:val="22"/>
        </w:rPr>
        <w:t xml:space="preserve">The following eight-step workflow mirrors and expands the original guide's training methodology.</w:t>
      </w:r>
    </w:p>
    <w:p>
      <w:pPr>
        <w:pStyle w:val="ListParagraph"/>
        <w:numPr>
          <w:ilvl w:val="0"/>
          <w:numId w:val="3"/>
        </w:numPr>
        <w:spacing w:after="120"/>
      </w:pPr>
      <w:r>
        <w:rPr>
          <w:rFonts w:ascii="Calibri" w:cs="Calibri" w:eastAsia="Calibri" w:hAnsi="Calibri"/>
          <w:color w:val="222222"/>
          <w:sz w:val="22"/>
          <w:szCs w:val="22"/>
        </w:rPr>
        <w:t xml:space="preserve">Collect the PlantVillage and PlantDoc datasets.</w:t>
      </w:r>
    </w:p>
    <w:p>
      <w:pPr>
        <w:pStyle w:val="ListParagraph"/>
        <w:numPr>
          <w:ilvl w:val="0"/>
          <w:numId w:val="3"/>
        </w:numPr>
        <w:spacing w:after="120"/>
      </w:pPr>
      <w:r>
        <w:rPr>
          <w:rFonts w:ascii="Calibri" w:cs="Calibri" w:eastAsia="Calibri" w:hAnsi="Calibri"/>
          <w:color w:val="222222"/>
          <w:sz w:val="22"/>
          <w:szCs w:val="22"/>
        </w:rPr>
        <w:t xml:space="preserve">Organize images by plant and disease labels into a unified taxonomy.</w:t>
      </w:r>
    </w:p>
    <w:p>
      <w:pPr>
        <w:pStyle w:val="ListParagraph"/>
        <w:numPr>
          <w:ilvl w:val="0"/>
          <w:numId w:val="3"/>
        </w:numPr>
        <w:spacing w:after="120"/>
      </w:pPr>
      <w:r>
        <w:rPr>
          <w:rFonts w:ascii="Calibri" w:cs="Calibri" w:eastAsia="Calibri" w:hAnsi="Calibri"/>
          <w:color w:val="222222"/>
          <w:sz w:val="22"/>
          <w:szCs w:val="22"/>
        </w:rPr>
        <w:t xml:space="preserve">Apply preprocessing and augmentation as defined in Chapter 4.3.</w:t>
      </w:r>
    </w:p>
    <w:p>
      <w:pPr>
        <w:pStyle w:val="ListParagraph"/>
        <w:numPr>
          <w:ilvl w:val="0"/>
          <w:numId w:val="3"/>
        </w:numPr>
        <w:spacing w:after="120"/>
      </w:pPr>
      <w:r>
        <w:rPr>
          <w:rFonts w:ascii="Calibri" w:cs="Calibri" w:eastAsia="Calibri" w:hAnsi="Calibri"/>
          <w:color w:val="222222"/>
          <w:sz w:val="22"/>
          <w:szCs w:val="22"/>
        </w:rPr>
        <w:t xml:space="preserve">Train EfficientNet using PyTorch on Google Colab, following the transfer-learning approach in Chapter 5.3.</w:t>
      </w:r>
    </w:p>
    <w:p>
      <w:pPr>
        <w:pStyle w:val="ListParagraph"/>
        <w:numPr>
          <w:ilvl w:val="0"/>
          <w:numId w:val="3"/>
        </w:numPr>
        <w:spacing w:after="120"/>
      </w:pPr>
      <w:r>
        <w:rPr>
          <w:rFonts w:ascii="Calibri" w:cs="Calibri" w:eastAsia="Calibri" w:hAnsi="Calibri"/>
          <w:color w:val="222222"/>
          <w:sz w:val="22"/>
          <w:szCs w:val="22"/>
        </w:rPr>
        <w:t xml:space="preserve">Evaluate Accuracy, Precision, Recall, and F1-score on the held-out test split.</w:t>
      </w:r>
    </w:p>
    <w:p>
      <w:pPr>
        <w:pStyle w:val="ListParagraph"/>
        <w:numPr>
          <w:ilvl w:val="0"/>
          <w:numId w:val="3"/>
        </w:numPr>
        <w:spacing w:after="120"/>
      </w:pPr>
      <w:r>
        <w:rPr>
          <w:rFonts w:ascii="Calibri" w:cs="Calibri" w:eastAsia="Calibri" w:hAnsi="Calibri"/>
          <w:color w:val="222222"/>
          <w:sz w:val="22"/>
          <w:szCs w:val="22"/>
        </w:rPr>
        <w:t xml:space="preserve">Save the best-performing model checkpoint (.pt), selected by validation F1-score rather than training accuracy.</w:t>
      </w:r>
    </w:p>
    <w:p>
      <w:pPr>
        <w:pStyle w:val="ListParagraph"/>
        <w:numPr>
          <w:ilvl w:val="0"/>
          <w:numId w:val="3"/>
        </w:numPr>
        <w:spacing w:after="120"/>
      </w:pPr>
      <w:r>
        <w:rPr>
          <w:rFonts w:ascii="Calibri" w:cs="Calibri" w:eastAsia="Calibri" w:hAnsi="Calibri"/>
          <w:color w:val="222222"/>
          <w:sz w:val="22"/>
          <w:szCs w:val="22"/>
        </w:rPr>
        <w:t xml:space="preserve">Deploy the checkpoint inside a FastAPI inference API (/predict), decoupled from the training notebook.</w:t>
      </w:r>
    </w:p>
    <w:p>
      <w:pPr>
        <w:pStyle w:val="ListParagraph"/>
        <w:numPr>
          <w:ilvl w:val="0"/>
          <w:numId w:val="3"/>
        </w:numPr>
        <w:spacing w:after="120"/>
      </w:pPr>
      <w:r>
        <w:rPr>
          <w:rFonts w:ascii="Calibri" w:cs="Calibri" w:eastAsia="Calibri" w:hAnsi="Calibri"/>
          <w:color w:val="222222"/>
          <w:sz w:val="22"/>
          <w:szCs w:val="22"/>
        </w:rPr>
        <w:t xml:space="preserve">Connect the website and React Native app to the prediction endpoint, and confirm end-to-end behavior with real, non-training images.</w:t>
      </w:r>
    </w:p>
    <w:p>
      <w:pPr>
        <w:pStyle w:val="Heading2"/>
        <w:spacing w:after="150" w:before="300"/>
      </w:pPr>
      <w:r>
        <w:rPr>
          <w:rFonts w:ascii="Calibri" w:cs="Calibri" w:eastAsia="Calibri" w:hAnsi="Calibri"/>
          <w:b/>
          <w:bCs/>
          <w:color w:val="1F5B3A"/>
          <w:sz w:val="26"/>
          <w:szCs w:val="26"/>
        </w:rPr>
        <w:t xml:space="preserve">6.1 Training Configuration Recommendations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Hyperparameter</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Recommended Starting Value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Batch size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32 (adjust down if GPU memory is constrained on Colab's free tier)</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Optimizer</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AdamW</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Initial learning rate (head-only phase)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1e-3</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Fine-tuning learning rate (unfrozen phase)</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1e-4 to 1e-5</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Loss function</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Cross-entropy loss, optionally with class weighting for imbalanced classes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Epochs (head-only phase)</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5-10</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Epochs (fine-tuning phase)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15-30, with early stopping on validation F1</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Regularization</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Dropout in the classifier head; weight decay via AdamW</w:t>
            </w:r>
          </w:p>
        </w:tc>
      </w:tr>
    </w:tbl>
    <w:p>
      <w:pPr>
        <w:spacing w:after="200"/>
      </w:pPr>
    </w:p>
    <w:p>
      <w:pPr>
        <w:pStyle w:val="Heading2"/>
        <w:spacing w:after="150" w:before="300"/>
      </w:pPr>
      <w:r>
        <w:rPr>
          <w:rFonts w:ascii="Calibri" w:cs="Calibri" w:eastAsia="Calibri" w:hAnsi="Calibri"/>
          <w:b/>
          <w:bCs/>
          <w:color w:val="1F5B3A"/>
          <w:sz w:val="26"/>
          <w:szCs w:val="26"/>
        </w:rPr>
        <w:t xml:space="preserve">6.2 Handling Class Imbalance</w:t>
      </w:r>
    </w:p>
    <w:p>
      <w:pPr>
        <w:pStyle w:val="ListParagraph"/>
        <w:numPr>
          <w:ilvl w:val="0"/>
          <w:numId w:val="2"/>
        </w:numPr>
        <w:spacing w:after="120"/>
      </w:pPr>
      <w:r>
        <w:rPr>
          <w:rFonts w:ascii="Calibri" w:cs="Calibri" w:eastAsia="Calibri" w:hAnsi="Calibri"/>
          <w:color w:val="222222"/>
          <w:sz w:val="22"/>
          <w:szCs w:val="22"/>
        </w:rPr>
        <w:t xml:space="preserve">Apply class-weighted loss so underrepresented disease classes are not dominated by common ones.</w:t>
      </w:r>
    </w:p>
    <w:p>
      <w:pPr>
        <w:pStyle w:val="ListParagraph"/>
        <w:numPr>
          <w:ilvl w:val="0"/>
          <w:numId w:val="2"/>
        </w:numPr>
        <w:spacing w:after="120"/>
      </w:pPr>
      <w:r>
        <w:rPr>
          <w:rFonts w:ascii="Calibri" w:cs="Calibri" w:eastAsia="Calibri" w:hAnsi="Calibri"/>
          <w:color w:val="222222"/>
          <w:sz w:val="22"/>
          <w:szCs w:val="22"/>
        </w:rPr>
        <w:t xml:space="preserve">Consider oversampling rare classes or targeted augmentation specifically for those classes.</w:t>
      </w:r>
    </w:p>
    <w:p>
      <w:pPr>
        <w:pStyle w:val="ListParagraph"/>
        <w:numPr>
          <w:ilvl w:val="0"/>
          <w:numId w:val="2"/>
        </w:numPr>
        <w:spacing w:after="120"/>
      </w:pPr>
      <w:r>
        <w:rPr>
          <w:rFonts w:ascii="Calibri" w:cs="Calibri" w:eastAsia="Calibri" w:hAnsi="Calibri"/>
          <w:color w:val="222222"/>
          <w:sz w:val="22"/>
          <w:szCs w:val="22"/>
        </w:rPr>
        <w:t xml:space="preserve">Track per-class metrics, not just overall accuracy, so a high aggregate score does not mask poor performance on rare-but-important disease classes.</w:t>
      </w:r>
    </w:p>
    <w:p>
      <w:r>
        <w:br w:type="page"/>
      </w:r>
    </w:p>
    <w:p>
      <w:pPr>
        <w:pStyle w:val="Heading1"/>
        <w:spacing w:after="200" w:before="400"/>
      </w:pPr>
      <w:r>
        <w:rPr>
          <w:rFonts w:ascii="Calibri" w:cs="Calibri" w:eastAsia="Calibri" w:hAnsi="Calibri"/>
          <w:b/>
          <w:bCs/>
          <w:color w:val="1F5B3A"/>
          <w:sz w:val="32"/>
          <w:szCs w:val="32"/>
        </w:rPr>
        <w:t xml:space="preserve">7. Model Evaluation Plan</w:t>
      </w:r>
    </w:p>
    <w:p>
      <w:pPr>
        <w:pStyle w:val="Heading2"/>
        <w:spacing w:after="150" w:before="300"/>
      </w:pPr>
      <w:r>
        <w:rPr>
          <w:rFonts w:ascii="Calibri" w:cs="Calibri" w:eastAsia="Calibri" w:hAnsi="Calibri"/>
          <w:b/>
          <w:bCs/>
          <w:color w:val="1F5B3A"/>
          <w:sz w:val="26"/>
          <w:szCs w:val="26"/>
        </w:rPr>
        <w:t xml:space="preserve">7.1 Metrics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8"/>
      </w:tblGrid>
      <w:tr>
        <w:trPr>
          <w:tblHeader/>
        </w:trPr>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Metric</w:t>
            </w:r>
          </w:p>
        </w:tc>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What It Measures</w:t>
            </w:r>
          </w:p>
        </w:tc>
        <w:tc>
          <w:tcPr>
            <w:tcW w:type="dxa" w:w="3118"/>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Why It Matters Here</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Accuracy</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Overall proportion of correct predictions</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Simple headline number, but can hide poor performance on rare classes.</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Precision (per class)</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Of predicted-positive cases for a class, how many were correct</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High precision matters so farmers are not told they have a disease they don't have.</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Recall (per class)</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Of actual-positive cases for a class, how many were correctly identified</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High recall matters so real disease cases are not missed.</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F1-score (per class and macro-averaged)</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Harmonic mean of precision and recall</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Balances the precision/recall trade-off; macro-average avoids letting common classes dominate the score.</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Confusion matrix</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Full breakdown of which classes are confused with which</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Reveals specific weak points (e.g., two visually similar diseases being confused) for targeted improvement.</w:t>
            </w:r>
          </w:p>
        </w:tc>
      </w:tr>
    </w:tbl>
    <w:p>
      <w:pPr>
        <w:spacing w:after="200"/>
      </w:pPr>
    </w:p>
    <w:p>
      <w:pPr>
        <w:pStyle w:val="Heading2"/>
        <w:spacing w:after="150" w:before="300"/>
      </w:pPr>
      <w:r>
        <w:rPr>
          <w:rFonts w:ascii="Calibri" w:cs="Calibri" w:eastAsia="Calibri" w:hAnsi="Calibri"/>
          <w:b/>
          <w:bCs/>
          <w:color w:val="1F5B3A"/>
          <w:sz w:val="26"/>
          <w:szCs w:val="26"/>
        </w:rPr>
        <w:t xml:space="preserve">7.2 Evaluation Process</w:t>
      </w:r>
    </w:p>
    <w:p>
      <w:pPr>
        <w:pStyle w:val="ListParagraph"/>
        <w:numPr>
          <w:ilvl w:val="0"/>
          <w:numId w:val="3"/>
        </w:numPr>
        <w:spacing w:after="120"/>
      </w:pPr>
      <w:r>
        <w:rPr>
          <w:rFonts w:ascii="Calibri" w:cs="Calibri" w:eastAsia="Calibri" w:hAnsi="Calibri"/>
          <w:color w:val="222222"/>
          <w:sz w:val="22"/>
          <w:szCs w:val="22"/>
        </w:rPr>
        <w:t xml:space="preserve">Run inference on the full held-out test set using the final selected checkpoint.</w:t>
      </w:r>
    </w:p>
    <w:p>
      <w:pPr>
        <w:pStyle w:val="ListParagraph"/>
        <w:numPr>
          <w:ilvl w:val="0"/>
          <w:numId w:val="3"/>
        </w:numPr>
        <w:spacing w:after="120"/>
      </w:pPr>
      <w:r>
        <w:rPr>
          <w:rFonts w:ascii="Calibri" w:cs="Calibri" w:eastAsia="Calibri" w:hAnsi="Calibri"/>
          <w:color w:val="222222"/>
          <w:sz w:val="22"/>
          <w:szCs w:val="22"/>
        </w:rPr>
        <w:t xml:space="preserve">Compute overall and per-class Accuracy, Precision, Recall, and F1-score.</w:t>
      </w:r>
    </w:p>
    <w:p>
      <w:pPr>
        <w:pStyle w:val="ListParagraph"/>
        <w:numPr>
          <w:ilvl w:val="0"/>
          <w:numId w:val="3"/>
        </w:numPr>
        <w:spacing w:after="120"/>
      </w:pPr>
      <w:r>
        <w:rPr>
          <w:rFonts w:ascii="Calibri" w:cs="Calibri" w:eastAsia="Calibri" w:hAnsi="Calibri"/>
          <w:color w:val="222222"/>
          <w:sz w:val="22"/>
          <w:szCs w:val="22"/>
        </w:rPr>
        <w:t xml:space="preserve">Generate and visually review the confusion matrix, identifying the top confused class pairs.</w:t>
      </w:r>
    </w:p>
    <w:p>
      <w:pPr>
        <w:pStyle w:val="ListParagraph"/>
        <w:numPr>
          <w:ilvl w:val="0"/>
          <w:numId w:val="3"/>
        </w:numPr>
        <w:spacing w:after="120"/>
      </w:pPr>
      <w:r>
        <w:rPr>
          <w:rFonts w:ascii="Calibri" w:cs="Calibri" w:eastAsia="Calibri" w:hAnsi="Calibri"/>
          <w:color w:val="222222"/>
          <w:sz w:val="22"/>
          <w:szCs w:val="22"/>
        </w:rPr>
        <w:t xml:space="preserve">Spot-check a sample of misclassified images to distinguish genuine model weaknesses from mislabeled or ambiguous source data.</w:t>
      </w:r>
    </w:p>
    <w:p>
      <w:pPr>
        <w:pStyle w:val="ListParagraph"/>
        <w:numPr>
          <w:ilvl w:val="0"/>
          <w:numId w:val="3"/>
        </w:numPr>
        <w:spacing w:after="120"/>
      </w:pPr>
      <w:r>
        <w:rPr>
          <w:rFonts w:ascii="Calibri" w:cs="Calibri" w:eastAsia="Calibri" w:hAnsi="Calibri"/>
          <w:color w:val="222222"/>
          <w:sz w:val="22"/>
          <w:szCs w:val="22"/>
        </w:rPr>
        <w:t xml:space="preserve">Document all metrics and known weak classes in the model card (Chapter 9).</w:t>
      </w:r>
    </w:p>
    <w:p>
      <w:pPr>
        <w:pStyle w:val="Heading2"/>
        <w:spacing w:after="150" w:before="300"/>
      </w:pPr>
      <w:r>
        <w:rPr>
          <w:rFonts w:ascii="Calibri" w:cs="Calibri" w:eastAsia="Calibri" w:hAnsi="Calibri"/>
          <w:b/>
          <w:bCs/>
          <w:color w:val="1F5B3A"/>
          <w:sz w:val="26"/>
          <w:szCs w:val="26"/>
        </w:rPr>
        <w:t xml:space="preserve">7.3 Acceptance Threshold</w:t>
      </w:r>
    </w:p>
    <w:p>
      <w:pPr>
        <w:spacing w:after="200" w:line="276"/>
      </w:pPr>
      <w:r>
        <w:rPr>
          <w:rFonts w:ascii="Calibri" w:cs="Calibri" w:eastAsia="Calibri" w:hAnsi="Calibri"/>
          <w:color w:val="222222"/>
          <w:sz w:val="22"/>
          <w:szCs w:val="22"/>
        </w:rPr>
        <w:t xml:space="preserve">The model is considered acceptable for initial deployment when it achieves at least 85% top-1 accuracy and a macro-averaged F1-score that does not fall dramatically below the accuracy figure (a large gap indicates the aggregate accuracy is being propped up by a few dominant classes while others perform poorly).</w:t>
      </w:r>
    </w:p>
    <w:p>
      <w:r>
        <w:br w:type="page"/>
      </w:r>
    </w:p>
    <w:p>
      <w:pPr>
        <w:pStyle w:val="Heading1"/>
        <w:spacing w:after="200" w:before="400"/>
      </w:pPr>
      <w:r>
        <w:rPr>
          <w:rFonts w:ascii="Calibri" w:cs="Calibri" w:eastAsia="Calibri" w:hAnsi="Calibri"/>
          <w:b/>
          <w:bCs/>
          <w:color w:val="1F5B3A"/>
          <w:sz w:val="32"/>
          <w:szCs w:val="32"/>
        </w:rPr>
        <w:t xml:space="preserve">8. Model Deployment and Serving</w:t>
      </w:r>
    </w:p>
    <w:p>
      <w:pPr>
        <w:pStyle w:val="Heading2"/>
        <w:spacing w:after="150" w:before="300"/>
      </w:pPr>
      <w:r>
        <w:rPr>
          <w:rFonts w:ascii="Calibri" w:cs="Calibri" w:eastAsia="Calibri" w:hAnsi="Calibri"/>
          <w:b/>
          <w:bCs/>
          <w:color w:val="1F5B3A"/>
          <w:sz w:val="26"/>
          <w:szCs w:val="26"/>
        </w:rPr>
        <w:t xml:space="preserve">8.1 Serving Architecture</w:t>
      </w:r>
    </w:p>
    <w:p>
      <w:pPr>
        <w:spacing w:after="200" w:line="276"/>
      </w:pPr>
      <w:r>
        <w:rPr>
          <w:rFonts w:ascii="Calibri" w:cs="Calibri" w:eastAsia="Calibri" w:hAnsi="Calibri"/>
          <w:color w:val="222222"/>
          <w:sz w:val="22"/>
          <w:szCs w:val="22"/>
        </w:rPr>
        <w:t xml:space="preserve">The exported .pt checkpoint is loaded once at FastAPI application startup (not per-request) to avoid repeated disk/model-load latency. Inference requests are handled by a dedicated service module that accepts an image, applies the same preprocessing used during evaluation (resize + normalize, no augmentation), runs the forward pass, and maps the output logits to the unified class taxonomy with an associated confidence score (softmax probability of the top class).</w:t>
      </w:r>
    </w:p>
    <w:p>
      <w:pPr>
        <w:pStyle w:val="Heading2"/>
        <w:spacing w:after="150" w:before="300"/>
      </w:pPr>
      <w:r>
        <w:rPr>
          <w:rFonts w:ascii="Calibri" w:cs="Calibri" w:eastAsia="Calibri" w:hAnsi="Calibri"/>
          <w:b/>
          <w:bCs/>
          <w:color w:val="1F5B3A"/>
          <w:sz w:val="26"/>
          <w:szCs w:val="26"/>
        </w:rPr>
        <w:t xml:space="preserve">8.2 Latency Considerations</w:t>
      </w:r>
    </w:p>
    <w:p>
      <w:pPr>
        <w:pStyle w:val="ListParagraph"/>
        <w:numPr>
          <w:ilvl w:val="0"/>
          <w:numId w:val="2"/>
        </w:numPr>
        <w:spacing w:after="120"/>
      </w:pPr>
      <w:r>
        <w:rPr>
          <w:rFonts w:ascii="Calibri" w:cs="Calibri" w:eastAsia="Calibri" w:hAnsi="Calibri"/>
          <w:color w:val="222222"/>
          <w:sz w:val="22"/>
          <w:szCs w:val="22"/>
        </w:rPr>
        <w:t xml:space="preserve">Run inference on CPU is acceptable for a pilot-scale deployment if the model variant and image size keep latency within the PRD's 5-second budget; benchmark before committing to a hosting tier.</w:t>
      </w:r>
    </w:p>
    <w:p>
      <w:pPr>
        <w:pStyle w:val="ListParagraph"/>
        <w:numPr>
          <w:ilvl w:val="0"/>
          <w:numId w:val="2"/>
        </w:numPr>
        <w:spacing w:after="120"/>
      </w:pPr>
      <w:r>
        <w:rPr>
          <w:rFonts w:ascii="Calibri" w:cs="Calibri" w:eastAsia="Calibri" w:hAnsi="Calibri"/>
          <w:color w:val="222222"/>
          <w:sz w:val="22"/>
          <w:szCs w:val="22"/>
        </w:rPr>
        <w:t xml:space="preserve">If CPU latency is insufficient, consider a smaller EfficientNet variant (B3 over B4), reduced input resolution, or a GPU-backed inference host.</w:t>
      </w:r>
    </w:p>
    <w:p>
      <w:pPr>
        <w:pStyle w:val="ListParagraph"/>
        <w:numPr>
          <w:ilvl w:val="0"/>
          <w:numId w:val="2"/>
        </w:numPr>
        <w:spacing w:after="120"/>
      </w:pPr>
      <w:r>
        <w:rPr>
          <w:rFonts w:ascii="Calibri" w:cs="Calibri" w:eastAsia="Calibri" w:hAnsi="Calibri"/>
          <w:color w:val="222222"/>
          <w:sz w:val="22"/>
          <w:szCs w:val="22"/>
        </w:rPr>
        <w:t xml:space="preserve">Batch multiple pending requests only if concurrent upload volume justifies the added complexity; for a pilot deployment, single-image synchronous inference is simpler and sufficient.</w:t>
      </w:r>
    </w:p>
    <w:p>
      <w:pPr>
        <w:pStyle w:val="Heading2"/>
        <w:spacing w:after="150" w:before="300"/>
      </w:pPr>
      <w:r>
        <w:rPr>
          <w:rFonts w:ascii="Calibri" w:cs="Calibri" w:eastAsia="Calibri" w:hAnsi="Calibri"/>
          <w:b/>
          <w:bCs/>
          <w:color w:val="1F5B3A"/>
          <w:sz w:val="26"/>
          <w:szCs w:val="26"/>
        </w:rPr>
        <w:t xml:space="preserve">8.3 Versioning</w:t>
      </w:r>
    </w:p>
    <w:p>
      <w:pPr>
        <w:pStyle w:val="ListParagraph"/>
        <w:numPr>
          <w:ilvl w:val="0"/>
          <w:numId w:val="2"/>
        </w:numPr>
        <w:spacing w:after="120"/>
      </w:pPr>
      <w:r>
        <w:rPr>
          <w:rFonts w:ascii="Calibri" w:cs="Calibri" w:eastAsia="Calibri" w:hAnsi="Calibri"/>
          <w:color w:val="222222"/>
          <w:sz w:val="22"/>
          <w:szCs w:val="22"/>
        </w:rPr>
        <w:t xml:space="preserve">Every deployed checkpoint is tagged with a semantic version and the date/dataset version it was trained on.</w:t>
      </w:r>
    </w:p>
    <w:p>
      <w:pPr>
        <w:pStyle w:val="ListParagraph"/>
        <w:numPr>
          <w:ilvl w:val="0"/>
          <w:numId w:val="2"/>
        </w:numPr>
        <w:spacing w:after="120"/>
      </w:pPr>
      <w:r>
        <w:rPr>
          <w:rFonts w:ascii="Calibri" w:cs="Calibri" w:eastAsia="Calibri" w:hAnsi="Calibri"/>
          <w:color w:val="222222"/>
          <w:sz w:val="22"/>
          <w:szCs w:val="22"/>
        </w:rPr>
        <w:t xml:space="preserve">The predictions table stores the model_version used for every prediction, so historical predictions remain interpretable even after a model upgrade.</w:t>
      </w:r>
    </w:p>
    <w:p>
      <w:pPr>
        <w:pStyle w:val="ListParagraph"/>
        <w:numPr>
          <w:ilvl w:val="0"/>
          <w:numId w:val="2"/>
        </w:numPr>
        <w:spacing w:after="120"/>
      </w:pPr>
      <w:r>
        <w:rPr>
          <w:rFonts w:ascii="Calibri" w:cs="Calibri" w:eastAsia="Calibri" w:hAnsi="Calibri"/>
          <w:color w:val="222222"/>
          <w:sz w:val="22"/>
          <w:szCs w:val="22"/>
        </w:rPr>
        <w:t xml:space="preserve">A rollback plan exists: the previous checkpoint is retained and can be swapped back in if a new version regresses on a spot-check after deployment.</w:t>
      </w:r>
    </w:p>
    <w:p>
      <w:r>
        <w:br w:type="page"/>
      </w:r>
    </w:p>
    <w:p>
      <w:pPr>
        <w:pStyle w:val="Heading1"/>
        <w:spacing w:after="200" w:before="400"/>
      </w:pPr>
      <w:r>
        <w:rPr>
          <w:rFonts w:ascii="Calibri" w:cs="Calibri" w:eastAsia="Calibri" w:hAnsi="Calibri"/>
          <w:b/>
          <w:bCs/>
          <w:color w:val="1F5B3A"/>
          <w:sz w:val="32"/>
          <w:szCs w:val="32"/>
        </w:rPr>
        <w:t xml:space="preserve">9. Model Card and Documentation</w:t>
      </w:r>
    </w:p>
    <w:p>
      <w:pPr>
        <w:spacing w:after="200" w:line="276"/>
      </w:pPr>
      <w:r>
        <w:rPr>
          <w:rFonts w:ascii="Calibri" w:cs="Calibri" w:eastAsia="Calibri" w:hAnsi="Calibri"/>
          <w:color w:val="222222"/>
          <w:sz w:val="22"/>
          <w:szCs w:val="22"/>
        </w:rPr>
        <w:t xml:space="preserve">Every deployed model version shall be accompanied by a short model card containing the following sections.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Section</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Content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Overview</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Model architecture, version, training date.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Intended Use</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Plant/disease classification from a single leaf image, as one input among several to the Decision Engine — not a standalone diagnostic tool.</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Training Data</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Dataset sources (PlantVillage, PlantDoc), class taxonomy, and known preprocessing/augmentation applied.</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Evaluation Results</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Overall and per-class Accuracy/Precision/Recall/F1, plus a summary of the confusion matrix's key findings.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Known Limitations</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Underrepresented classes, conditions the model was not trained for (e.g., unusual lighting, non-leaf images), and any classes with materially weaker performance.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Update History</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Prior versions and what changed between them.</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10. LLM Reasoning Layer Design</w:t>
      </w:r>
    </w:p>
    <w:p>
      <w:pPr>
        <w:pStyle w:val="Heading2"/>
        <w:spacing w:after="150" w:before="300"/>
      </w:pPr>
      <w:r>
        <w:rPr>
          <w:rFonts w:ascii="Calibri" w:cs="Calibri" w:eastAsia="Calibri" w:hAnsi="Calibri"/>
          <w:b/>
          <w:bCs/>
          <w:color w:val="1F5B3A"/>
          <w:sz w:val="26"/>
          <w:szCs w:val="26"/>
        </w:rPr>
        <w:t xml:space="preserve">10.1 Role of the LLM</w:t>
      </w:r>
    </w:p>
    <w:p>
      <w:pPr>
        <w:spacing w:after="200" w:line="276"/>
      </w:pPr>
      <w:r>
        <w:rPr>
          <w:rFonts w:ascii="Calibri" w:cs="Calibri" w:eastAsia="Calibri" w:hAnsi="Calibri"/>
          <w:color w:val="222222"/>
          <w:sz w:val="22"/>
          <w:szCs w:val="22"/>
        </w:rPr>
        <w:t xml:space="preserve">The LLM is not asked to identify the disease from the image — that remains the job of the trained computer vision model. Instead, the LLM receives the vision model's output as one input among several and is asked to reason about what should be done given the complete situation: current environmental conditions, forecasted weather, and the farm's profile and recent history.</w:t>
      </w:r>
    </w:p>
    <w:p>
      <w:pPr>
        <w:pStyle w:val="Heading2"/>
        <w:spacing w:after="150" w:before="300"/>
      </w:pPr>
      <w:r>
        <w:rPr>
          <w:rFonts w:ascii="Calibri" w:cs="Calibri" w:eastAsia="Calibri" w:hAnsi="Calibri"/>
          <w:b/>
          <w:bCs/>
          <w:color w:val="1F5B3A"/>
          <w:sz w:val="26"/>
          <w:szCs w:val="26"/>
        </w:rPr>
        <w:t xml:space="preserve">10.2 Context Object Schema (Conceptual)</w:t>
      </w:r>
    </w:p>
    <w:p>
      <w:pPr>
        <w:spacing w:after="200" w:line="276"/>
      </w:pPr>
      <w:r>
        <w:rPr>
          <w:rFonts w:ascii="Calibri" w:cs="Calibri" w:eastAsia="Calibri" w:hAnsi="Calibri"/>
          <w:color w:val="222222"/>
          <w:sz w:val="22"/>
          <w:szCs w:val="22"/>
        </w:rPr>
        <w:t xml:space="preserve">The Decision Engine assembles a structured context object before calling the LLM. Conceptually, this object includes: the detected plant, disease, and confidence; current temperature, humidity, soil moisture, and rain state; the short-term weather forecast; the farm's crop type, planting date, and configured thresholds; a short summary of recent relevant history (e.g., prior disease events, recent irrigation actions); and, for chat interactions, the farmer's current question.</w:t>
      </w:r>
    </w:p>
    <w:p>
      <w:pPr>
        <w:pStyle w:val="Heading2"/>
        <w:spacing w:after="150" w:before="300"/>
      </w:pPr>
      <w:r>
        <w:rPr>
          <w:rFonts w:ascii="Calibri" w:cs="Calibri" w:eastAsia="Calibri" w:hAnsi="Calibri"/>
          <w:b/>
          <w:bCs/>
          <w:color w:val="1F5B3A"/>
          <w:sz w:val="26"/>
          <w:szCs w:val="26"/>
        </w:rPr>
        <w:t xml:space="preserve">10.3 Prompt Design Principles</w:t>
      </w:r>
    </w:p>
    <w:p>
      <w:pPr>
        <w:pStyle w:val="ListParagraph"/>
        <w:numPr>
          <w:ilvl w:val="0"/>
          <w:numId w:val="2"/>
        </w:numPr>
        <w:spacing w:after="120"/>
      </w:pPr>
      <w:r>
        <w:rPr>
          <w:rFonts w:ascii="Calibri" w:cs="Calibri" w:eastAsia="Calibri" w:hAnsi="Calibri"/>
          <w:color w:val="222222"/>
          <w:sz w:val="22"/>
          <w:szCs w:val="22"/>
        </w:rPr>
        <w:t xml:space="preserve">System instruction establishes the assistant's role (an agricultural advisor), tone (clear, farmer-friendly, non-alarmist), and safety constraints (flag safety-relevant guidance distinctly; avoid unqualified regulatory claims about specific pesticide products).</w:t>
      </w:r>
    </w:p>
    <w:p>
      <w:pPr>
        <w:pStyle w:val="ListParagraph"/>
        <w:numPr>
          <w:ilvl w:val="0"/>
          <w:numId w:val="2"/>
        </w:numPr>
        <w:spacing w:after="120"/>
      </w:pPr>
      <w:r>
        <w:rPr>
          <w:rFonts w:ascii="Calibri" w:cs="Calibri" w:eastAsia="Calibri" w:hAnsi="Calibri"/>
          <w:color w:val="222222"/>
          <w:sz w:val="22"/>
          <w:szCs w:val="22"/>
        </w:rPr>
        <w:t xml:space="preserve">The structured context is passed as clearly labeled data (not prose) so the model can reference specific values precisely rather than paraphrasing loosely.</w:t>
      </w:r>
    </w:p>
    <w:p>
      <w:pPr>
        <w:pStyle w:val="ListParagraph"/>
        <w:numPr>
          <w:ilvl w:val="0"/>
          <w:numId w:val="2"/>
        </w:numPr>
        <w:spacing w:after="120"/>
      </w:pPr>
      <w:r>
        <w:rPr>
          <w:rFonts w:ascii="Calibri" w:cs="Calibri" w:eastAsia="Calibri" w:hAnsi="Calibri"/>
          <w:color w:val="222222"/>
          <w:sz w:val="22"/>
          <w:szCs w:val="22"/>
        </w:rPr>
        <w:t xml:space="preserve">The prompt explicitly asks the model to explain its reasoning in plain language, not just state a conclusion, so farmers understand why a recommendation was made.</w:t>
      </w:r>
    </w:p>
    <w:p>
      <w:pPr>
        <w:pStyle w:val="ListParagraph"/>
        <w:numPr>
          <w:ilvl w:val="0"/>
          <w:numId w:val="2"/>
        </w:numPr>
        <w:spacing w:after="120"/>
      </w:pPr>
      <w:r>
        <w:rPr>
          <w:rFonts w:ascii="Calibri" w:cs="Calibri" w:eastAsia="Calibri" w:hAnsi="Calibri"/>
          <w:color w:val="222222"/>
          <w:sz w:val="22"/>
          <w:szCs w:val="22"/>
        </w:rPr>
        <w:t xml:space="preserve">The prompt asks the model to reconcile any conflicting signals explicitly (e.g., low soil moisture but rain forecast) rather than ignoring one of them.</w:t>
      </w:r>
    </w:p>
    <w:p>
      <w:pPr>
        <w:pStyle w:val="ListParagraph"/>
        <w:numPr>
          <w:ilvl w:val="0"/>
          <w:numId w:val="2"/>
        </w:numPr>
        <w:spacing w:after="120"/>
      </w:pPr>
      <w:r>
        <w:rPr>
          <w:rFonts w:ascii="Calibri" w:cs="Calibri" w:eastAsia="Calibri" w:hAnsi="Calibri"/>
          <w:color w:val="222222"/>
          <w:sz w:val="22"/>
          <w:szCs w:val="22"/>
        </w:rPr>
        <w:t xml:space="preserve">For chat, prior turns and the original structured context are included so follow-up questions remain grounded in the same farm situation.</w:t>
      </w:r>
    </w:p>
    <w:p>
      <w:pPr>
        <w:pStyle w:val="Heading2"/>
        <w:spacing w:after="150" w:before="300"/>
      </w:pPr>
      <w:r>
        <w:rPr>
          <w:rFonts w:ascii="Calibri" w:cs="Calibri" w:eastAsia="Calibri" w:hAnsi="Calibri"/>
          <w:b/>
          <w:bCs/>
          <w:color w:val="1F5B3A"/>
          <w:sz w:val="26"/>
          <w:szCs w:val="26"/>
        </w:rPr>
        <w:t xml:space="preserve">10.4 Provider Abstraction</w:t>
      </w:r>
    </w:p>
    <w:p>
      <w:pPr>
        <w:spacing w:after="200" w:line="276"/>
      </w:pPr>
      <w:r>
        <w:rPr>
          <w:rFonts w:ascii="Calibri" w:cs="Calibri" w:eastAsia="Calibri" w:hAnsi="Calibri"/>
          <w:color w:val="222222"/>
          <w:sz w:val="22"/>
          <w:szCs w:val="22"/>
        </w:rPr>
        <w:t xml:space="preserve">The backend defines a single internal interface (e.g., generate_recommendation(context) and generate_chat_reply(context, history)) implemented by provider-specific adapters for Gemini, Claude, and OpenAI. This allows the active provider to be changed via configuration without touching the Decision Engine or any calling code, and allows A/B comparison of providers during development.</w:t>
      </w:r>
    </w:p>
    <w:p>
      <w:pPr>
        <w:pStyle w:val="Heading2"/>
        <w:spacing w:after="150" w:before="300"/>
      </w:pPr>
      <w:r>
        <w:rPr>
          <w:rFonts w:ascii="Calibri" w:cs="Calibri" w:eastAsia="Calibri" w:hAnsi="Calibri"/>
          <w:b/>
          <w:bCs/>
          <w:color w:val="1F5B3A"/>
          <w:sz w:val="26"/>
          <w:szCs w:val="26"/>
        </w:rPr>
        <w:t xml:space="preserve">10.5 Fallback Behavior</w:t>
      </w:r>
    </w:p>
    <w:p>
      <w:pPr>
        <w:spacing w:after="200" w:line="276"/>
      </w:pPr>
      <w:r>
        <w:rPr>
          <w:rFonts w:ascii="Calibri" w:cs="Calibri" w:eastAsia="Calibri" w:hAnsi="Calibri"/>
          <w:color w:val="222222"/>
          <w:sz w:val="22"/>
          <w:szCs w:val="22"/>
        </w:rPr>
        <w:t xml:space="preserve">If the LLM call times out or errors, a rule-based fallback generates a conservative, safe recommendation using only the deterministic parts of the context (e.g., 'Soil moisture is low and no rain is expected — irrigation has been triggered automatically. A leaf disease was detected with the following confidence; consult a local agricultural extension office for treatment guidance.'). This ensures the system remains useful and safe even during an LLM outage.</w:t>
      </w:r>
    </w:p>
    <w:p>
      <w:r>
        <w:br w:type="page"/>
      </w:r>
    </w:p>
    <w:p>
      <w:pPr>
        <w:pStyle w:val="Heading1"/>
        <w:spacing w:after="200" w:before="400"/>
      </w:pPr>
      <w:r>
        <w:rPr>
          <w:rFonts w:ascii="Calibri" w:cs="Calibri" w:eastAsia="Calibri" w:hAnsi="Calibri"/>
          <w:b/>
          <w:bCs/>
          <w:color w:val="1F5B3A"/>
          <w:sz w:val="32"/>
          <w:szCs w:val="32"/>
        </w:rPr>
        <w:t xml:space="preserve">11. Prompt and Output Quality Assurance</w:t>
      </w:r>
    </w:p>
    <w:p>
      <w:pPr>
        <w:pStyle w:val="Heading2"/>
        <w:spacing w:after="150" w:before="300"/>
      </w:pPr>
      <w:r>
        <w:rPr>
          <w:rFonts w:ascii="Calibri" w:cs="Calibri" w:eastAsia="Calibri" w:hAnsi="Calibri"/>
          <w:b/>
          <w:bCs/>
          <w:color w:val="1F5B3A"/>
          <w:sz w:val="26"/>
          <w:szCs w:val="26"/>
        </w:rPr>
        <w:t xml:space="preserve">11.1 Logging</w:t>
      </w:r>
    </w:p>
    <w:p>
      <w:pPr>
        <w:spacing w:after="200" w:line="276"/>
      </w:pPr>
      <w:r>
        <w:rPr>
          <w:rFonts w:ascii="Calibri" w:cs="Calibri" w:eastAsia="Calibri" w:hAnsi="Calibri"/>
          <w:color w:val="222222"/>
          <w:sz w:val="22"/>
          <w:szCs w:val="22"/>
        </w:rPr>
        <w:t xml:space="preserve">Every LLM call logs the exact context object sent and the exact response received, tagged with a timestamp and farm/prediction identifiers. This supports later review, debugging, and prompt-engineering iteration without needing to reproduce the live conditions.</w:t>
      </w:r>
    </w:p>
    <w:p>
      <w:pPr>
        <w:pStyle w:val="Heading2"/>
        <w:spacing w:after="150" w:before="300"/>
      </w:pPr>
      <w:r>
        <w:rPr>
          <w:rFonts w:ascii="Calibri" w:cs="Calibri" w:eastAsia="Calibri" w:hAnsi="Calibri"/>
          <w:b/>
          <w:bCs/>
          <w:color w:val="1F5B3A"/>
          <w:sz w:val="26"/>
          <w:szCs w:val="26"/>
        </w:rPr>
        <w:t xml:space="preserve">11.2 Manual Review Process</w:t>
      </w:r>
    </w:p>
    <w:p>
      <w:pPr>
        <w:pStyle w:val="ListParagraph"/>
        <w:numPr>
          <w:ilvl w:val="0"/>
          <w:numId w:val="3"/>
        </w:numPr>
        <w:spacing w:after="120"/>
      </w:pPr>
      <w:r>
        <w:rPr>
          <w:rFonts w:ascii="Calibri" w:cs="Calibri" w:eastAsia="Calibri" w:hAnsi="Calibri"/>
          <w:color w:val="222222"/>
          <w:sz w:val="22"/>
          <w:szCs w:val="22"/>
        </w:rPr>
        <w:t xml:space="preserve">Periodically sample a set of recent recommendations from the log.</w:t>
      </w:r>
    </w:p>
    <w:p>
      <w:pPr>
        <w:pStyle w:val="ListParagraph"/>
        <w:numPr>
          <w:ilvl w:val="0"/>
          <w:numId w:val="3"/>
        </w:numPr>
        <w:spacing w:after="120"/>
      </w:pPr>
      <w:r>
        <w:rPr>
          <w:rFonts w:ascii="Calibri" w:cs="Calibri" w:eastAsia="Calibri" w:hAnsi="Calibri"/>
          <w:color w:val="222222"/>
          <w:sz w:val="22"/>
          <w:szCs w:val="22"/>
        </w:rPr>
        <w:t xml:space="preserve">Check each sampled recommendation against its context: does it reference the relevant sensor/weather values? Does it correctly resolve any conflicting signals? Is the tone appropriate and non-alarmist?</w:t>
      </w:r>
    </w:p>
    <w:p>
      <w:pPr>
        <w:pStyle w:val="ListParagraph"/>
        <w:numPr>
          <w:ilvl w:val="0"/>
          <w:numId w:val="3"/>
        </w:numPr>
        <w:spacing w:after="120"/>
      </w:pPr>
      <w:r>
        <w:rPr>
          <w:rFonts w:ascii="Calibri" w:cs="Calibri" w:eastAsia="Calibri" w:hAnsi="Calibri"/>
          <w:color w:val="222222"/>
          <w:sz w:val="22"/>
          <w:szCs w:val="22"/>
        </w:rPr>
        <w:t xml:space="preserve">Flag any recommendation that appears generic (i.e., could have been generated from the disease alone, ignoring sensor/weather context) as a prompt-quality issue to address.</w:t>
      </w:r>
    </w:p>
    <w:p>
      <w:pPr>
        <w:pStyle w:val="ListParagraph"/>
        <w:numPr>
          <w:ilvl w:val="0"/>
          <w:numId w:val="3"/>
        </w:numPr>
        <w:spacing w:after="120"/>
      </w:pPr>
      <w:r>
        <w:rPr>
          <w:rFonts w:ascii="Calibri" w:cs="Calibri" w:eastAsia="Calibri" w:hAnsi="Calibri"/>
          <w:color w:val="222222"/>
          <w:sz w:val="22"/>
          <w:szCs w:val="22"/>
        </w:rPr>
        <w:t xml:space="preserve">Track flagged issues over time to measure whether prompt refinements are improving grounding and specificity.</w:t>
      </w:r>
    </w:p>
    <w:p>
      <w:pPr>
        <w:pStyle w:val="Heading2"/>
        <w:spacing w:after="150" w:before="300"/>
      </w:pPr>
      <w:r>
        <w:rPr>
          <w:rFonts w:ascii="Calibri" w:cs="Calibri" w:eastAsia="Calibri" w:hAnsi="Calibri"/>
          <w:b/>
          <w:bCs/>
          <w:color w:val="1F5B3A"/>
          <w:sz w:val="26"/>
          <w:szCs w:val="26"/>
        </w:rPr>
        <w:t xml:space="preserve">11.3 Safety Review</w:t>
      </w:r>
    </w:p>
    <w:p>
      <w:pPr>
        <w:pStyle w:val="ListParagraph"/>
        <w:numPr>
          <w:ilvl w:val="0"/>
          <w:numId w:val="2"/>
        </w:numPr>
        <w:spacing w:after="120"/>
      </w:pPr>
      <w:r>
        <w:rPr>
          <w:rFonts w:ascii="Calibri" w:cs="Calibri" w:eastAsia="Calibri" w:hAnsi="Calibri"/>
          <w:color w:val="222222"/>
          <w:sz w:val="22"/>
          <w:szCs w:val="22"/>
        </w:rPr>
        <w:t xml:space="preserve">Ensure no recommendation gives specific dosing instructions for restricted or regulated pesticides without an explicit disclaimer to consult a licensed local expert.</w:t>
      </w:r>
    </w:p>
    <w:p>
      <w:pPr>
        <w:pStyle w:val="ListParagraph"/>
        <w:numPr>
          <w:ilvl w:val="0"/>
          <w:numId w:val="2"/>
        </w:numPr>
        <w:spacing w:after="120"/>
      </w:pPr>
      <w:r>
        <w:rPr>
          <w:rFonts w:ascii="Calibri" w:cs="Calibri" w:eastAsia="Calibri" w:hAnsi="Calibri"/>
          <w:color w:val="222222"/>
          <w:sz w:val="22"/>
          <w:szCs w:val="22"/>
        </w:rPr>
        <w:t xml:space="preserve">Ensure the assistant never discourages a farmer from seeking professional agronomic help when a situation is beyond the confidence of the automated system (e.g., very low classification confidence, or a disease outside the model's documented scope).</w:t>
      </w:r>
    </w:p>
    <w:p>
      <w:r>
        <w:br w:type="page"/>
      </w:r>
    </w:p>
    <w:p>
      <w:pPr>
        <w:pStyle w:val="Heading1"/>
        <w:spacing w:after="200" w:before="400"/>
      </w:pPr>
      <w:r>
        <w:rPr>
          <w:rFonts w:ascii="Calibri" w:cs="Calibri" w:eastAsia="Calibri" w:hAnsi="Calibri"/>
          <w:b/>
          <w:bCs/>
          <w:color w:val="1F5B3A"/>
          <w:sz w:val="32"/>
          <w:szCs w:val="32"/>
        </w:rPr>
        <w:t xml:space="preserve">12. Development Roadmap for the AI Track</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Week</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Focus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1-2</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Learn/refresh PyTorch fundamentals; assemble and clean the combined dataset; train a first baseline EfficientNet model.</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3</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Improve dataset quality (deduplication, relabeling) and iterate on augmentation/hyperparameters to improve accuracy.</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4</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Finalize evaluation, select the best checkpoint, write the model card, and deploy the model behind a FastAPI /predict endpoint.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5</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Integrate the website and React Native app with the live prediction endpoint; validate end-to-end behavior with real images.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6</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Integrate live sensor data and the weather API into the Decision Engine's context assembly.</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7</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Connect LLM reasoning: implement prompt templates, the provider abstraction, the recommendation and chat endpoints, and the rule-based fallback.</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8</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Testing, prompt-quality review, latency optimization, and final presentation preparation.</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13. Model Governance and Ongoing Maintenance</w:t>
      </w:r>
    </w:p>
    <w:p>
      <w:pPr>
        <w:pStyle w:val="ListParagraph"/>
        <w:numPr>
          <w:ilvl w:val="0"/>
          <w:numId w:val="2"/>
        </w:numPr>
        <w:spacing w:after="120"/>
      </w:pPr>
      <w:r>
        <w:rPr>
          <w:rFonts w:ascii="Calibri" w:cs="Calibri" w:eastAsia="Calibri" w:hAnsi="Calibri"/>
          <w:color w:val="222222"/>
          <w:sz w:val="22"/>
          <w:szCs w:val="22"/>
        </w:rPr>
        <w:t xml:space="preserve">Every deployed model version must have a corresponding model card (Chapter 9) before being promoted to production.</w:t>
      </w:r>
    </w:p>
    <w:p>
      <w:pPr>
        <w:pStyle w:val="ListParagraph"/>
        <w:numPr>
          <w:ilvl w:val="0"/>
          <w:numId w:val="2"/>
        </w:numPr>
        <w:spacing w:after="120"/>
      </w:pPr>
      <w:r>
        <w:rPr>
          <w:rFonts w:ascii="Calibri" w:cs="Calibri" w:eastAsia="Calibri" w:hAnsi="Calibri"/>
          <w:color w:val="222222"/>
          <w:sz w:val="22"/>
          <w:szCs w:val="22"/>
        </w:rPr>
        <w:t xml:space="preserve">Low-confidence predictions shall be periodically reviewed as a signal for dataset augmentation or retraining priorities.</w:t>
      </w:r>
    </w:p>
    <w:p>
      <w:pPr>
        <w:pStyle w:val="ListParagraph"/>
        <w:numPr>
          <w:ilvl w:val="0"/>
          <w:numId w:val="2"/>
        </w:numPr>
        <w:spacing w:after="120"/>
      </w:pPr>
      <w:r>
        <w:rPr>
          <w:rFonts w:ascii="Calibri" w:cs="Calibri" w:eastAsia="Calibri" w:hAnsi="Calibri"/>
          <w:color w:val="222222"/>
          <w:sz w:val="22"/>
          <w:szCs w:val="22"/>
        </w:rPr>
        <w:t xml:space="preserve">Any change to the plant/disease class taxonomy must be propagated to the LLM prompt templates and any client-facing labels to avoid mismatched terminology.</w:t>
      </w:r>
    </w:p>
    <w:p>
      <w:pPr>
        <w:pStyle w:val="ListParagraph"/>
        <w:numPr>
          <w:ilvl w:val="0"/>
          <w:numId w:val="2"/>
        </w:numPr>
        <w:spacing w:after="120"/>
      </w:pPr>
      <w:r>
        <w:rPr>
          <w:rFonts w:ascii="Calibri" w:cs="Calibri" w:eastAsia="Calibri" w:hAnsi="Calibri"/>
          <w:color w:val="222222"/>
          <w:sz w:val="22"/>
          <w:szCs w:val="22"/>
        </w:rPr>
        <w:t xml:space="preserve">The prompt-quality review process (Chapter 11.2) shall run on a recurring cadence (e.g., biweekly during active pilot use) so reasoning quality does not silently degrade as farm profiles and conditions diversify.</w:t>
      </w:r>
    </w:p>
    <w:p>
      <w:pPr>
        <w:pStyle w:val="ListParagraph"/>
        <w:numPr>
          <w:ilvl w:val="0"/>
          <w:numId w:val="2"/>
        </w:numPr>
        <w:spacing w:after="120"/>
      </w:pPr>
      <w:r>
        <w:rPr>
          <w:rFonts w:ascii="Calibri" w:cs="Calibri" w:eastAsia="Calibri" w:hAnsi="Calibri"/>
          <w:color w:val="222222"/>
          <w:sz w:val="22"/>
          <w:szCs w:val="22"/>
        </w:rPr>
        <w:t xml:space="preserve">A backlog of candidate future AI components (e.g., yield prediction) shall be evaluated against the decision rule in Chapter 2.2 before being greenlit.</w:t>
      </w:r>
    </w:p>
    <w:p>
      <w:r>
        <w:br w:type="page"/>
      </w:r>
    </w:p>
    <w:p>
      <w:pPr>
        <w:pStyle w:val="Heading1"/>
        <w:spacing w:after="200" w:before="400"/>
      </w:pPr>
      <w:r>
        <w:rPr>
          <w:rFonts w:ascii="Calibri" w:cs="Calibri" w:eastAsia="Calibri" w:hAnsi="Calibri"/>
          <w:b/>
          <w:bCs/>
          <w:color w:val="1F5B3A"/>
          <w:sz w:val="32"/>
          <w:szCs w:val="32"/>
        </w:rPr>
        <w:t xml:space="preserve">14. Conclusion</w:t>
      </w:r>
    </w:p>
    <w:p>
      <w:pPr>
        <w:spacing w:after="200" w:line="276"/>
      </w:pPr>
      <w:r>
        <w:rPr>
          <w:rFonts w:ascii="Calibri" w:cs="Calibri" w:eastAsia="Calibri" w:hAnsi="Calibri"/>
          <w:color w:val="222222"/>
          <w:sz w:val="22"/>
          <w:szCs w:val="22"/>
        </w:rPr>
        <w:t xml:space="preserve">AgriSense AI's AI strategy rests on a deliberately narrow machine learning scope — one well-evaluated computer vision model for plant and disease identification — paired with a general-purpose LLM that reasons over rich, structured, farm-specific context for everything else. This provides a strong balance between demonstrating genuine AI engineering skill (dataset curation, transfer learning, rigorous evaluation) and building a practical, production-style smart agriculture platform whose recommendations are grounded, explainable, and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2026-07-22T08:22:18.184Z</dcterms:created>
  <dcterms:modified xsi:type="dcterms:W3CDTF">2026-07-22T08:22:18.184Z</dcterms:modified>
</cp:coreProperties>
</file>

<file path=docProps/custom.xml><?xml version="1.0" encoding="utf-8"?>
<Properties xmlns="http://schemas.openxmlformats.org/officeDocument/2006/custom-properties" xmlns:vt="http://schemas.openxmlformats.org/officeDocument/2006/docPropsVTypes"/>
</file>