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45EB5" w14:textId="77777777" w:rsidR="00F866CE" w:rsidRPr="00C774E9" w:rsidRDefault="00F866CE" w:rsidP="00F866CE">
      <w:pPr>
        <w:rPr>
          <w:rFonts w:ascii="Segoe UI" w:hAnsi="Segoe UI" w:cs="Segoe UI"/>
          <w:b/>
          <w:bCs/>
          <w:sz w:val="28"/>
          <w:szCs w:val="28"/>
        </w:rPr>
      </w:pPr>
      <w:r w:rsidRPr="00C774E9">
        <w:rPr>
          <w:rFonts w:ascii="Segoe UI" w:hAnsi="Segoe UI" w:cs="Segoe UI"/>
          <w:b/>
          <w:bCs/>
          <w:sz w:val="28"/>
          <w:szCs w:val="28"/>
        </w:rPr>
        <w:t>Case Study: Аналіз продажів FMCG-сектору (2022-2024)</w:t>
      </w:r>
    </w:p>
    <w:p w14:paraId="62F21999" w14:textId="77777777" w:rsidR="00F866CE" w:rsidRPr="00C774E9" w:rsidRDefault="00F866CE" w:rsidP="00F866CE">
      <w:pPr>
        <w:rPr>
          <w:rFonts w:ascii="Segoe UI" w:hAnsi="Segoe UI" w:cs="Segoe UI"/>
          <w:sz w:val="28"/>
          <w:szCs w:val="28"/>
        </w:rPr>
      </w:pPr>
      <w:r w:rsidRPr="00C774E9">
        <w:rPr>
          <w:rFonts w:ascii="Segoe UI" w:hAnsi="Segoe UI" w:cs="Segoe UI"/>
          <w:b/>
          <w:bCs/>
          <w:sz w:val="28"/>
          <w:szCs w:val="28"/>
        </w:rPr>
        <w:t>Роль:</w:t>
      </w:r>
      <w:r w:rsidRPr="00C774E9">
        <w:rPr>
          <w:rFonts w:ascii="Segoe UI" w:hAnsi="Segoe UI" w:cs="Segoe UI"/>
          <w:sz w:val="28"/>
          <w:szCs w:val="28"/>
        </w:rPr>
        <w:t xml:space="preserve"> Junior Data Analyst</w:t>
      </w:r>
    </w:p>
    <w:p w14:paraId="7CCCE63C" w14:textId="77777777" w:rsidR="00F866CE" w:rsidRPr="00C774E9" w:rsidRDefault="00F866CE" w:rsidP="00F866CE">
      <w:pPr>
        <w:rPr>
          <w:rFonts w:ascii="Segoe UI" w:hAnsi="Segoe UI" w:cs="Segoe UI"/>
          <w:sz w:val="28"/>
          <w:szCs w:val="28"/>
        </w:rPr>
      </w:pPr>
      <w:r w:rsidRPr="00C774E9">
        <w:rPr>
          <w:rFonts w:ascii="Segoe UI" w:hAnsi="Segoe UI" w:cs="Segoe UI"/>
          <w:b/>
          <w:bCs/>
          <w:sz w:val="28"/>
          <w:szCs w:val="28"/>
        </w:rPr>
        <w:t>Інструменти:</w:t>
      </w:r>
      <w:r w:rsidRPr="00C774E9">
        <w:rPr>
          <w:rFonts w:ascii="Segoe UI" w:hAnsi="Segoe UI" w:cs="Segoe UI"/>
          <w:sz w:val="28"/>
          <w:szCs w:val="28"/>
        </w:rPr>
        <w:t xml:space="preserve"> PostgreSQL (Server), DBeaver, MS Excel, Power BI.</w:t>
      </w:r>
    </w:p>
    <w:p w14:paraId="67A7BA1A" w14:textId="77777777" w:rsidR="00FF146E" w:rsidRPr="00C774E9" w:rsidRDefault="00FF146E" w:rsidP="00C57837">
      <w:pPr>
        <w:jc w:val="center"/>
        <w:rPr>
          <w:rFonts w:ascii="Segoe UI" w:hAnsi="Segoe UI" w:cs="Segoe UI"/>
          <w:b/>
          <w:bCs/>
          <w:sz w:val="28"/>
          <w:szCs w:val="28"/>
        </w:rPr>
      </w:pPr>
      <w:r w:rsidRPr="00C774E9">
        <w:rPr>
          <w:rFonts w:ascii="Segoe UI" w:hAnsi="Segoe UI" w:cs="Segoe UI"/>
          <w:b/>
          <w:bCs/>
          <w:sz w:val="28"/>
          <w:szCs w:val="28"/>
        </w:rPr>
        <w:t>Частина 1: Бізнес-контекст, архітектура та мета дослідження</w:t>
      </w:r>
    </w:p>
    <w:p w14:paraId="57236E4F" w14:textId="014BFE1B" w:rsidR="0012778D" w:rsidRPr="00C774E9" w:rsidRDefault="0012778D" w:rsidP="0012778D">
      <w:pPr>
        <w:ind w:firstLine="720"/>
        <w:rPr>
          <w:rFonts w:ascii="Segoe UI" w:hAnsi="Segoe UI" w:cs="Segoe UI"/>
          <w:sz w:val="28"/>
          <w:szCs w:val="28"/>
        </w:rPr>
      </w:pPr>
      <w:r w:rsidRPr="00C774E9">
        <w:rPr>
          <w:rFonts w:ascii="Segoe UI" w:hAnsi="Segoe UI" w:cs="Segoe UI"/>
          <w:sz w:val="28"/>
          <w:szCs w:val="28"/>
        </w:rPr>
        <w:t>Основна аналітична проблема цього проєкту полягала в децентралізації даних: історична інформація про понад 190 000 транзакцій ритейл-мережі за 2022</w:t>
      </w:r>
      <w:r w:rsidR="00C57837">
        <w:rPr>
          <w:rFonts w:ascii="Segoe UI" w:hAnsi="Segoe UI" w:cs="Segoe UI"/>
          <w:sz w:val="28"/>
          <w:szCs w:val="28"/>
          <w:lang w:val="ru-RU"/>
        </w:rPr>
        <w:t>-</w:t>
      </w:r>
      <w:r w:rsidRPr="00C774E9">
        <w:rPr>
          <w:rFonts w:ascii="Segoe UI" w:hAnsi="Segoe UI" w:cs="Segoe UI"/>
          <w:sz w:val="28"/>
          <w:szCs w:val="28"/>
        </w:rPr>
        <w:t>2024 роки зберігалася у розрізнених плоских таблицях. Це унеможливлювало оперативний моніторинг каналів збуту, оцінку ефективності маркетингових бюджетів та швидке відстеження сезонних коливань.</w:t>
      </w:r>
    </w:p>
    <w:p w14:paraId="054BB8E6" w14:textId="77777777" w:rsidR="0012778D" w:rsidRPr="00C774E9" w:rsidRDefault="0012778D" w:rsidP="0012778D">
      <w:pPr>
        <w:ind w:firstLine="720"/>
        <w:rPr>
          <w:rFonts w:ascii="Segoe UI" w:hAnsi="Segoe UI" w:cs="Segoe UI"/>
          <w:sz w:val="28"/>
          <w:szCs w:val="28"/>
        </w:rPr>
      </w:pPr>
      <w:r w:rsidRPr="00C774E9">
        <w:rPr>
          <w:rFonts w:ascii="Segoe UI" w:hAnsi="Segoe UI" w:cs="Segoe UI"/>
          <w:sz w:val="28"/>
          <w:szCs w:val="28"/>
        </w:rPr>
        <w:t>Метою проєкту є трансформація сирого масиву транзакційних даних у цілісну інтерактивну BI-екосистему. Реалізація цієї мети вимагала проектування реляційного сховища даних, оптимізації обчислювальних навантажень на рівні СУБД та розробки фінального інтерактивного дашборду для прийняття управлінських рішень.</w:t>
      </w:r>
    </w:p>
    <w:p w14:paraId="079E524E" w14:textId="5FC8312F" w:rsidR="0012778D" w:rsidRPr="00C774E9" w:rsidRDefault="00FF146E" w:rsidP="0012778D">
      <w:pPr>
        <w:ind w:firstLine="720"/>
        <w:jc w:val="center"/>
        <w:rPr>
          <w:rFonts w:ascii="Segoe UI" w:hAnsi="Segoe UI" w:cs="Segoe UI"/>
          <w:b/>
          <w:bCs/>
          <w:sz w:val="28"/>
          <w:szCs w:val="28"/>
        </w:rPr>
      </w:pPr>
      <w:r w:rsidRPr="00C774E9">
        <w:rPr>
          <w:rFonts w:ascii="Segoe UI" w:hAnsi="Segoe UI" w:cs="Segoe UI"/>
          <w:b/>
          <w:bCs/>
          <w:sz w:val="28"/>
          <w:szCs w:val="28"/>
        </w:rPr>
        <w:t>Специфікація та структура інформаційних ресурсів</w:t>
      </w:r>
    </w:p>
    <w:p w14:paraId="530D1A4E" w14:textId="5C357166" w:rsidR="0012778D" w:rsidRPr="00C774E9" w:rsidRDefault="0012778D" w:rsidP="0012778D">
      <w:pPr>
        <w:ind w:firstLine="720"/>
        <w:rPr>
          <w:rFonts w:ascii="Segoe UI" w:hAnsi="Segoe UI" w:cs="Segoe UI"/>
          <w:sz w:val="28"/>
          <w:szCs w:val="28"/>
        </w:rPr>
      </w:pPr>
      <w:r w:rsidRPr="00C774E9">
        <w:rPr>
          <w:rFonts w:ascii="Segoe UI" w:hAnsi="Segoe UI" w:cs="Segoe UI"/>
          <w:sz w:val="28"/>
          <w:szCs w:val="28"/>
        </w:rPr>
        <w:t>Фундаментом для дослідження став масив даних, що детально описує структуру та логіку продажів мережі</w:t>
      </w:r>
      <w:r w:rsidRPr="00C774E9">
        <w:rPr>
          <w:rFonts w:ascii="Segoe UI" w:hAnsi="Segoe UI" w:cs="Segoe UI"/>
          <w:sz w:val="28"/>
          <w:szCs w:val="28"/>
          <w:lang w:val="uk-UA"/>
        </w:rPr>
        <w:t xml:space="preserve">. </w:t>
      </w:r>
      <w:r w:rsidRPr="00C774E9">
        <w:rPr>
          <w:rFonts w:ascii="Segoe UI" w:hAnsi="Segoe UI" w:cs="Segoe UI"/>
          <w:sz w:val="28"/>
          <w:szCs w:val="28"/>
        </w:rPr>
        <w:t>Кожна транзакція фіксується у часі з точністю до дня за допомогою часової мітки date. Комерційна номенклатура структурована за допомогою унікальних артикулів товарів sku, які мають трирівневу ієрархію класифікації: від конкретного бренду</w:t>
      </w:r>
      <w:r w:rsidR="00890B89" w:rsidRPr="00890B89">
        <w:rPr>
          <w:rFonts w:ascii="Segoe UI" w:hAnsi="Segoe UI" w:cs="Segoe UI"/>
          <w:sz w:val="28"/>
          <w:szCs w:val="28"/>
        </w:rPr>
        <w:t xml:space="preserve">, </w:t>
      </w:r>
      <w:r w:rsidRPr="00C774E9">
        <w:rPr>
          <w:rFonts w:ascii="Segoe UI" w:hAnsi="Segoe UI" w:cs="Segoe UI"/>
          <w:sz w:val="28"/>
          <w:szCs w:val="28"/>
        </w:rPr>
        <w:t xml:space="preserve">через товарний сегмент </w:t>
      </w:r>
      <w:r w:rsidR="00890B89">
        <w:rPr>
          <w:rFonts w:ascii="Segoe UI" w:hAnsi="Segoe UI" w:cs="Segoe UI"/>
          <w:sz w:val="28"/>
          <w:szCs w:val="28"/>
          <w:lang w:val="uk-UA"/>
        </w:rPr>
        <w:t xml:space="preserve">і </w:t>
      </w:r>
      <w:r w:rsidRPr="00C774E9">
        <w:rPr>
          <w:rFonts w:ascii="Segoe UI" w:hAnsi="Segoe UI" w:cs="Segoe UI"/>
          <w:sz w:val="28"/>
          <w:szCs w:val="28"/>
        </w:rPr>
        <w:t xml:space="preserve">до глобальної категорії. </w:t>
      </w:r>
    </w:p>
    <w:p w14:paraId="38B70372" w14:textId="3776B7A0" w:rsidR="0012778D" w:rsidRDefault="0012778D" w:rsidP="0012778D">
      <w:pPr>
        <w:ind w:firstLine="720"/>
        <w:rPr>
          <w:rFonts w:ascii="Segoe UI" w:hAnsi="Segoe UI" w:cs="Segoe UI"/>
          <w:sz w:val="28"/>
          <w:szCs w:val="28"/>
          <w:lang w:val="uk-UA"/>
        </w:rPr>
      </w:pPr>
      <w:r w:rsidRPr="00C774E9">
        <w:rPr>
          <w:rFonts w:ascii="Segoe UI" w:hAnsi="Segoe UI" w:cs="Segoe UI"/>
          <w:sz w:val="28"/>
          <w:szCs w:val="28"/>
        </w:rPr>
        <w:t>Операційний та географічний контури бізнесу представлені каналами продажів channel й територіальною прив'язкою region. Кожна транзакція містить кількісно-вартісні метрики: ціну за одиницю товару price_unit та фізичний обсяг відвантаження units_sold. Також наявний бінарний маркер маркетингової активності promotion_flag, який відображає участь товару в промо-акціях або його продаж за регулярною ціною.</w:t>
      </w:r>
    </w:p>
    <w:p w14:paraId="4DE132D1" w14:textId="77777777" w:rsidR="00890B89" w:rsidRPr="00890B89" w:rsidRDefault="00890B89" w:rsidP="0012778D">
      <w:pPr>
        <w:ind w:firstLine="720"/>
        <w:rPr>
          <w:rFonts w:ascii="Segoe UI" w:hAnsi="Segoe UI" w:cs="Segoe UI"/>
          <w:sz w:val="28"/>
          <w:szCs w:val="28"/>
          <w:lang w:val="uk-UA"/>
        </w:rPr>
      </w:pPr>
    </w:p>
    <w:p w14:paraId="6A12E997" w14:textId="77777777" w:rsidR="00FF146E" w:rsidRPr="00C774E9" w:rsidRDefault="00FF146E" w:rsidP="0002183C">
      <w:pPr>
        <w:jc w:val="center"/>
        <w:rPr>
          <w:rFonts w:ascii="Segoe UI" w:hAnsi="Segoe UI" w:cs="Segoe UI"/>
          <w:b/>
          <w:bCs/>
          <w:sz w:val="28"/>
          <w:szCs w:val="28"/>
        </w:rPr>
      </w:pPr>
      <w:r w:rsidRPr="00C774E9">
        <w:rPr>
          <w:rFonts w:ascii="Segoe UI" w:hAnsi="Segoe UI" w:cs="Segoe UI"/>
          <w:b/>
          <w:bCs/>
          <w:sz w:val="28"/>
          <w:szCs w:val="28"/>
        </w:rPr>
        <w:lastRenderedPageBreak/>
        <w:t>Частина 2: Проектування сховища даних та інженерія ETL-процесів</w:t>
      </w:r>
    </w:p>
    <w:p w14:paraId="116281FF" w14:textId="2554A2A9" w:rsidR="004830F4" w:rsidRPr="00C774E9" w:rsidRDefault="0012778D" w:rsidP="0012778D">
      <w:pPr>
        <w:ind w:firstLine="720"/>
        <w:rPr>
          <w:rFonts w:ascii="Segoe UI" w:hAnsi="Segoe UI" w:cs="Segoe UI"/>
          <w:sz w:val="28"/>
          <w:szCs w:val="28"/>
        </w:rPr>
      </w:pPr>
      <w:r w:rsidRPr="00C774E9">
        <w:rPr>
          <w:rFonts w:ascii="Segoe UI" w:hAnsi="Segoe UI" w:cs="Segoe UI"/>
          <w:sz w:val="28"/>
          <w:szCs w:val="28"/>
        </w:rPr>
        <w:t xml:space="preserve">В процесі імпорту даних з MS Excel було виявлено та усунено конфлікти форматів, коли дробові ціни автоматично конвертувалися у дати (наприклад, значення 2.38 перетворювалося на </w:t>
      </w:r>
      <w:r w:rsidR="00C57837">
        <w:rPr>
          <w:rFonts w:ascii="Segoe UI" w:hAnsi="Segoe UI" w:cs="Segoe UI"/>
          <w:sz w:val="28"/>
          <w:szCs w:val="28"/>
          <w:lang w:val="ru-RU"/>
        </w:rPr>
        <w:t>лют</w:t>
      </w:r>
      <w:r w:rsidRPr="00C774E9">
        <w:rPr>
          <w:rFonts w:ascii="Segoe UI" w:hAnsi="Segoe UI" w:cs="Segoe UI"/>
          <w:sz w:val="28"/>
          <w:szCs w:val="28"/>
        </w:rPr>
        <w:t>.38). Помилку виправлено шляхом повторного завантаження сирих даних у текстовому буфері безпосередньо в базу із подальшою типізацією.</w:t>
      </w:r>
    </w:p>
    <w:p w14:paraId="2D30F746" w14:textId="0FD24833" w:rsidR="0012778D" w:rsidRPr="00C57837" w:rsidRDefault="0012778D" w:rsidP="0012778D">
      <w:pPr>
        <w:ind w:firstLine="720"/>
        <w:rPr>
          <w:rFonts w:ascii="Segoe UI" w:hAnsi="Segoe UI" w:cs="Segoe UI"/>
          <w:sz w:val="28"/>
          <w:szCs w:val="28"/>
          <w:lang w:val="ru-RU"/>
        </w:rPr>
      </w:pPr>
      <w:r w:rsidRPr="00C774E9">
        <w:rPr>
          <w:rFonts w:ascii="Segoe UI" w:hAnsi="Segoe UI" w:cs="Segoe UI"/>
          <w:sz w:val="28"/>
          <w:szCs w:val="28"/>
        </w:rPr>
        <w:t>У процесі формування архітектури таблиць увагу було приділено типізації даних для забезпечення коректності майбутніх аналітичних розрахунків. Текстові часові мітки первинного масиву було конвертовано у системний формат DATE за допомогою явного приведення типів</w:t>
      </w:r>
      <w:r w:rsidR="00C57837">
        <w:rPr>
          <w:rFonts w:ascii="Segoe UI" w:hAnsi="Segoe UI" w:cs="Segoe UI"/>
          <w:sz w:val="28"/>
          <w:szCs w:val="28"/>
          <w:lang w:val="ru-RU"/>
        </w:rPr>
        <w:t>.</w:t>
      </w:r>
    </w:p>
    <w:p w14:paraId="4A8B005C" w14:textId="3A6951A8" w:rsidR="0012778D" w:rsidRPr="00C774E9" w:rsidRDefault="0012778D" w:rsidP="0012778D">
      <w:pPr>
        <w:ind w:firstLine="720"/>
        <w:rPr>
          <w:rFonts w:ascii="Segoe UI" w:hAnsi="Segoe UI" w:cs="Segoe UI"/>
          <w:sz w:val="28"/>
          <w:szCs w:val="28"/>
        </w:rPr>
      </w:pPr>
      <w:r w:rsidRPr="00C774E9">
        <w:rPr>
          <w:rFonts w:ascii="Segoe UI" w:hAnsi="Segoe UI" w:cs="Segoe UI"/>
          <w:sz w:val="28"/>
          <w:szCs w:val="28"/>
        </w:rPr>
        <w:t>Для фінансових показників, таких як ціна та підсумковий виторг, було обрано тип дани</w:t>
      </w:r>
      <w:r w:rsidR="00C57837">
        <w:rPr>
          <w:rFonts w:ascii="Segoe UI" w:hAnsi="Segoe UI" w:cs="Segoe UI"/>
          <w:sz w:val="28"/>
          <w:szCs w:val="28"/>
          <w:lang w:val="uk-UA"/>
        </w:rPr>
        <w:t xml:space="preserve">х </w:t>
      </w:r>
      <w:r w:rsidRPr="00C774E9">
        <w:rPr>
          <w:rFonts w:ascii="Segoe UI" w:hAnsi="Segoe UI" w:cs="Segoe UI"/>
          <w:sz w:val="28"/>
          <w:szCs w:val="28"/>
        </w:rPr>
        <w:t xml:space="preserve">NUMERIC. Використання стандартних типів із плаваючою крапкою на кшталт FLOAT було свідомо відхилено, оскільки вони накопичують мікропомилки округлення під час масштабних бізнес-агрегацій. Завершальним кроком проектування стало налаштування локалізації часових поясів із синхронізацією системного часу під єдиний стандарт UTC+2. </w:t>
      </w:r>
    </w:p>
    <w:p w14:paraId="6834FB15" w14:textId="657BA726" w:rsidR="0002183C" w:rsidRPr="00C774E9" w:rsidRDefault="0002183C" w:rsidP="0002183C">
      <w:pPr>
        <w:ind w:firstLine="720"/>
        <w:jc w:val="center"/>
        <w:rPr>
          <w:rFonts w:ascii="Segoe UI" w:hAnsi="Segoe UI" w:cs="Segoe UI"/>
          <w:b/>
          <w:bCs/>
          <w:sz w:val="28"/>
          <w:szCs w:val="28"/>
        </w:rPr>
      </w:pPr>
      <w:r w:rsidRPr="00C774E9">
        <w:rPr>
          <w:rFonts w:ascii="Segoe UI" w:hAnsi="Segoe UI" w:cs="Segoe UI"/>
          <w:b/>
          <w:bCs/>
          <w:sz w:val="28"/>
          <w:szCs w:val="28"/>
        </w:rPr>
        <w:t xml:space="preserve">Частина 3: </w:t>
      </w:r>
      <w:r w:rsidR="003E1A71" w:rsidRPr="00C774E9">
        <w:rPr>
          <w:rFonts w:ascii="Segoe UI" w:hAnsi="Segoe UI" w:cs="Segoe UI"/>
          <w:b/>
          <w:bCs/>
          <w:sz w:val="28"/>
          <w:szCs w:val="28"/>
        </w:rPr>
        <w:t>Формування вітрин даних та розрахунок аналітичних метрик</w:t>
      </w:r>
    </w:p>
    <w:p w14:paraId="08E15250" w14:textId="1315224A" w:rsidR="00C774E9" w:rsidRDefault="00C774E9" w:rsidP="0002183C">
      <w:pPr>
        <w:ind w:firstLine="720"/>
        <w:rPr>
          <w:rFonts w:ascii="Segoe UI" w:hAnsi="Segoe UI" w:cs="Segoe UI"/>
          <w:sz w:val="28"/>
          <w:szCs w:val="28"/>
          <w:lang w:val="uk-UA"/>
        </w:rPr>
      </w:pPr>
      <w:r w:rsidRPr="00C774E9">
        <w:rPr>
          <w:rFonts w:ascii="Segoe UI" w:hAnsi="Segoe UI" w:cs="Segoe UI"/>
          <w:sz w:val="28"/>
          <w:szCs w:val="28"/>
        </w:rPr>
        <w:t xml:space="preserve">Для оптимізації роботи BI-системи було прийнято рішення змінити гранулярність даних із транзакційного рівня на денний. З цією метою на рівні бази даних було створено вітрину даних у вигляді віртуального представлення </w:t>
      </w:r>
      <w:r w:rsidRPr="00C57837">
        <w:rPr>
          <w:rFonts w:ascii="Segoe UI" w:hAnsi="Segoe UI" w:cs="Segoe UI"/>
          <w:i/>
          <w:iCs/>
          <w:sz w:val="28"/>
          <w:szCs w:val="28"/>
        </w:rPr>
        <w:t>v_fmcg_sales_mart</w:t>
      </w:r>
      <w:r w:rsidRPr="00C774E9">
        <w:rPr>
          <w:rFonts w:ascii="Segoe UI" w:hAnsi="Segoe UI" w:cs="Segoe UI"/>
          <w:sz w:val="28"/>
          <w:szCs w:val="28"/>
        </w:rPr>
        <w:t>. Логіка створення представлення передбачала агрегацію первинних транзакцій за всіма ключовими бізнес-вимірам</w:t>
      </w:r>
      <w:r>
        <w:rPr>
          <w:rFonts w:ascii="Segoe UI" w:hAnsi="Segoe UI" w:cs="Segoe UI"/>
          <w:sz w:val="28"/>
          <w:szCs w:val="28"/>
          <w:lang w:val="uk-UA"/>
        </w:rPr>
        <w:t>и.</w:t>
      </w:r>
      <w:r w:rsidRPr="00C774E9">
        <w:rPr>
          <w:rFonts w:ascii="Segoe UI" w:hAnsi="Segoe UI" w:cs="Segoe UI"/>
          <w:sz w:val="28"/>
          <w:szCs w:val="28"/>
        </w:rPr>
        <w:t xml:space="preserve"> Розрахунок підсумкового виторгу реалізовано шляхом попрямого множення кількості проданих одиниць товару на ціну за одиницю. Впровадження цього кроку дозволило зменшити кількість рядків із початкових 190 000 до 125 000, що на 35% знизило навантаження на модель Power BI.</w:t>
      </w:r>
    </w:p>
    <w:p w14:paraId="6F9A8183" w14:textId="77777777" w:rsidR="00C774E9" w:rsidRPr="00C774E9" w:rsidRDefault="00C774E9" w:rsidP="0002183C">
      <w:pPr>
        <w:ind w:firstLine="720"/>
        <w:rPr>
          <w:rFonts w:ascii="Segoe UI" w:hAnsi="Segoe UI" w:cs="Segoe UI"/>
          <w:sz w:val="28"/>
          <w:szCs w:val="28"/>
          <w:lang w:val="uk-UA"/>
        </w:rPr>
      </w:pPr>
    </w:p>
    <w:p w14:paraId="30B3CEDF"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b/>
          <w:bCs/>
          <w:color w:val="739ECA"/>
          <w:kern w:val="0"/>
          <w:lang w:eastAsia="ru-UA"/>
          <w14:ligatures w14:val="none"/>
        </w:rPr>
        <w:lastRenderedPageBreak/>
        <w:t>CREATE</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b/>
          <w:bCs/>
          <w:color w:val="739ECA"/>
          <w:kern w:val="0"/>
          <w:lang w:eastAsia="ru-UA"/>
          <w14:ligatures w14:val="none"/>
        </w:rPr>
        <w:t>OR</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b/>
          <w:bCs/>
          <w:color w:val="739ECA"/>
          <w:kern w:val="0"/>
          <w:lang w:eastAsia="ru-UA"/>
          <w14:ligatures w14:val="none"/>
        </w:rPr>
        <w:t>REPLACE</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B788D3"/>
          <w:kern w:val="0"/>
          <w:lang w:eastAsia="ru-UA"/>
          <w14:ligatures w14:val="none"/>
        </w:rPr>
        <w:t>VIEW</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00B8B8"/>
          <w:kern w:val="0"/>
          <w:lang w:eastAsia="ru-UA"/>
          <w14:ligatures w14:val="none"/>
        </w:rPr>
        <w:t>public</w:t>
      </w:r>
      <w:r w:rsidRPr="00C774E9">
        <w:rPr>
          <w:rFonts w:ascii="Consolas" w:eastAsia="Times New Roman" w:hAnsi="Consolas" w:cs="Times New Roman"/>
          <w:color w:val="CCCCCC"/>
          <w:kern w:val="0"/>
          <w:lang w:eastAsia="ru-UA"/>
          <w14:ligatures w14:val="none"/>
        </w:rPr>
        <w:t>.</w:t>
      </w:r>
      <w:r w:rsidRPr="00C774E9">
        <w:rPr>
          <w:rFonts w:ascii="Consolas" w:eastAsia="Times New Roman" w:hAnsi="Consolas" w:cs="Times New Roman"/>
          <w:color w:val="9E9E9E"/>
          <w:kern w:val="0"/>
          <w:lang w:eastAsia="ru-UA"/>
          <w14:ligatures w14:val="none"/>
        </w:rPr>
        <w:t>v_fmcg_sales_mart</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b/>
          <w:bCs/>
          <w:color w:val="739ECA"/>
          <w:kern w:val="0"/>
          <w:lang w:eastAsia="ru-UA"/>
          <w14:ligatures w14:val="none"/>
        </w:rPr>
        <w:t>AS</w:t>
      </w:r>
    </w:p>
    <w:p w14:paraId="7D141E98"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b/>
          <w:bCs/>
          <w:color w:val="739ECA"/>
          <w:kern w:val="0"/>
          <w:lang w:eastAsia="ru-UA"/>
          <w14:ligatures w14:val="none"/>
        </w:rPr>
        <w:t>SELECT</w:t>
      </w:r>
      <w:r w:rsidRPr="00C774E9">
        <w:rPr>
          <w:rFonts w:ascii="Consolas" w:eastAsia="Times New Roman" w:hAnsi="Consolas" w:cs="Times New Roman"/>
          <w:color w:val="CCCCCC"/>
          <w:kern w:val="0"/>
          <w:lang w:eastAsia="ru-UA"/>
          <w14:ligatures w14:val="none"/>
        </w:rPr>
        <w:t xml:space="preserve"> </w:t>
      </w:r>
    </w:p>
    <w:p w14:paraId="07E6A868"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b/>
          <w:bCs/>
          <w:color w:val="C1AA6C"/>
          <w:kern w:val="0"/>
          <w:lang w:eastAsia="ru-UA"/>
          <w14:ligatures w14:val="none"/>
        </w:rPr>
        <w:t>"date"</w:t>
      </w:r>
      <w:r w:rsidRPr="00C774E9">
        <w:rPr>
          <w:rFonts w:ascii="Consolas" w:eastAsia="Times New Roman" w:hAnsi="Consolas" w:cs="Times New Roman"/>
          <w:color w:val="CCCCCC"/>
          <w:kern w:val="0"/>
          <w:lang w:eastAsia="ru-UA"/>
          <w14:ligatures w14:val="none"/>
        </w:rPr>
        <w:t>,</w:t>
      </w:r>
    </w:p>
    <w:p w14:paraId="36D74292"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00B8B8"/>
          <w:kern w:val="0"/>
          <w:lang w:eastAsia="ru-UA"/>
          <w14:ligatures w14:val="none"/>
        </w:rPr>
        <w:t>brand</w:t>
      </w:r>
      <w:r w:rsidRPr="00C774E9">
        <w:rPr>
          <w:rFonts w:ascii="Consolas" w:eastAsia="Times New Roman" w:hAnsi="Consolas" w:cs="Times New Roman"/>
          <w:color w:val="CCCCCC"/>
          <w:kern w:val="0"/>
          <w:lang w:eastAsia="ru-UA"/>
          <w14:ligatures w14:val="none"/>
        </w:rPr>
        <w:t>,</w:t>
      </w:r>
    </w:p>
    <w:p w14:paraId="7B21BBFE"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category</w:t>
      </w:r>
      <w:r w:rsidRPr="00C774E9">
        <w:rPr>
          <w:rFonts w:ascii="Consolas" w:eastAsia="Times New Roman" w:hAnsi="Consolas" w:cs="Times New Roman"/>
          <w:color w:val="CCCCCC"/>
          <w:kern w:val="0"/>
          <w:lang w:eastAsia="ru-UA"/>
          <w14:ligatures w14:val="none"/>
        </w:rPr>
        <w:t>,</w:t>
      </w:r>
    </w:p>
    <w:p w14:paraId="5836011F"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00B8B8"/>
          <w:kern w:val="0"/>
          <w:lang w:eastAsia="ru-UA"/>
          <w14:ligatures w14:val="none"/>
        </w:rPr>
        <w:t>channel</w:t>
      </w:r>
      <w:r w:rsidRPr="00C774E9">
        <w:rPr>
          <w:rFonts w:ascii="Consolas" w:eastAsia="Times New Roman" w:hAnsi="Consolas" w:cs="Times New Roman"/>
          <w:color w:val="CCCCCC"/>
          <w:kern w:val="0"/>
          <w:lang w:eastAsia="ru-UA"/>
          <w14:ligatures w14:val="none"/>
        </w:rPr>
        <w:t>,</w:t>
      </w:r>
    </w:p>
    <w:p w14:paraId="2AD5FA39"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region</w:t>
      </w:r>
      <w:r w:rsidRPr="00C774E9">
        <w:rPr>
          <w:rFonts w:ascii="Consolas" w:eastAsia="Times New Roman" w:hAnsi="Consolas" w:cs="Times New Roman"/>
          <w:color w:val="CCCCCC"/>
          <w:kern w:val="0"/>
          <w:lang w:eastAsia="ru-UA"/>
          <w14:ligatures w14:val="none"/>
        </w:rPr>
        <w:t>,</w:t>
      </w:r>
    </w:p>
    <w:p w14:paraId="6DED2F20"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00B8B8"/>
          <w:kern w:val="0"/>
          <w:lang w:eastAsia="ru-UA"/>
          <w14:ligatures w14:val="none"/>
        </w:rPr>
        <w:t>promotion_flag</w:t>
      </w:r>
      <w:r w:rsidRPr="00C774E9">
        <w:rPr>
          <w:rFonts w:ascii="Consolas" w:eastAsia="Times New Roman" w:hAnsi="Consolas" w:cs="Times New Roman"/>
          <w:color w:val="CCCCCC"/>
          <w:kern w:val="0"/>
          <w:lang w:eastAsia="ru-UA"/>
          <w14:ligatures w14:val="none"/>
        </w:rPr>
        <w:t>,</w:t>
      </w:r>
    </w:p>
    <w:p w14:paraId="3F35D756"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b/>
          <w:bCs/>
          <w:color w:val="C1AA6C"/>
          <w:kern w:val="0"/>
          <w:lang w:eastAsia="ru-UA"/>
          <w14:ligatures w14:val="none"/>
        </w:rPr>
        <w:t>SUM</w:t>
      </w:r>
      <w:r w:rsidRPr="00C774E9">
        <w:rPr>
          <w:rFonts w:ascii="Consolas" w:eastAsia="Times New Roman" w:hAnsi="Consolas" w:cs="Times New Roman"/>
          <w:color w:val="CCCCCC"/>
          <w:kern w:val="0"/>
          <w:lang w:eastAsia="ru-UA"/>
          <w14:ligatures w14:val="none"/>
        </w:rPr>
        <w:t>(</w:t>
      </w:r>
      <w:r w:rsidRPr="00C774E9">
        <w:rPr>
          <w:rFonts w:ascii="Consolas" w:eastAsia="Times New Roman" w:hAnsi="Consolas" w:cs="Times New Roman"/>
          <w:color w:val="B19B9B"/>
          <w:kern w:val="0"/>
          <w:u w:val="single"/>
          <w:lang w:eastAsia="ru-UA"/>
          <w14:ligatures w14:val="none"/>
        </w:rPr>
        <w:t>units_sold</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b/>
          <w:bCs/>
          <w:color w:val="739ECA"/>
          <w:kern w:val="0"/>
          <w:lang w:eastAsia="ru-UA"/>
          <w14:ligatures w14:val="none"/>
        </w:rPr>
        <w:t>AS</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total_units_sold</w:t>
      </w:r>
      <w:r w:rsidRPr="00C774E9">
        <w:rPr>
          <w:rFonts w:ascii="Consolas" w:eastAsia="Times New Roman" w:hAnsi="Consolas" w:cs="Times New Roman"/>
          <w:color w:val="CCCCCC"/>
          <w:kern w:val="0"/>
          <w:lang w:eastAsia="ru-UA"/>
          <w14:ligatures w14:val="none"/>
        </w:rPr>
        <w:t>,</w:t>
      </w:r>
    </w:p>
    <w:p w14:paraId="0F92C9B3"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00B8B8"/>
          <w:kern w:val="0"/>
          <w:lang w:eastAsia="ru-UA"/>
          <w14:ligatures w14:val="none"/>
        </w:rPr>
        <w:t>SUM</w:t>
      </w:r>
      <w:r w:rsidRPr="00C774E9">
        <w:rPr>
          <w:rFonts w:ascii="Consolas" w:eastAsia="Times New Roman" w:hAnsi="Consolas" w:cs="Times New Roman"/>
          <w:color w:val="CCCCCC"/>
          <w:kern w:val="0"/>
          <w:lang w:eastAsia="ru-UA"/>
          <w14:ligatures w14:val="none"/>
        </w:rPr>
        <w:t>(</w:t>
      </w:r>
      <w:r w:rsidRPr="00C774E9">
        <w:rPr>
          <w:rFonts w:ascii="Consolas" w:eastAsia="Times New Roman" w:hAnsi="Consolas" w:cs="Times New Roman"/>
          <w:color w:val="9E9E9E"/>
          <w:kern w:val="0"/>
          <w:lang w:eastAsia="ru-UA"/>
          <w14:ligatures w14:val="none"/>
        </w:rPr>
        <w:t>units_sold</w:t>
      </w:r>
      <w:r w:rsidRPr="00C774E9">
        <w:rPr>
          <w:rFonts w:ascii="Consolas" w:eastAsia="Times New Roman" w:hAnsi="Consolas" w:cs="Times New Roman"/>
          <w:color w:val="CCCCCC"/>
          <w:kern w:val="0"/>
          <w:lang w:eastAsia="ru-UA"/>
          <w14:ligatures w14:val="none"/>
        </w:rPr>
        <w:t xml:space="preserve"> * </w:t>
      </w:r>
      <w:r w:rsidRPr="00C774E9">
        <w:rPr>
          <w:rFonts w:ascii="Consolas" w:eastAsia="Times New Roman" w:hAnsi="Consolas" w:cs="Times New Roman"/>
          <w:color w:val="9E9E9E"/>
          <w:kern w:val="0"/>
          <w:lang w:eastAsia="ru-UA"/>
          <w14:ligatures w14:val="none"/>
        </w:rPr>
        <w:t>price_unit</w:t>
      </w:r>
      <w:r w:rsidRPr="00C774E9">
        <w:rPr>
          <w:rFonts w:ascii="Consolas" w:eastAsia="Times New Roman" w:hAnsi="Consolas" w:cs="Times New Roman"/>
          <w:color w:val="CCCCCC"/>
          <w:kern w:val="0"/>
          <w:lang w:eastAsia="ru-UA"/>
          <w14:ligatures w14:val="none"/>
        </w:rPr>
        <w:t>)::</w:t>
      </w:r>
      <w:r w:rsidRPr="00C774E9">
        <w:rPr>
          <w:rFonts w:ascii="Consolas" w:eastAsia="Times New Roman" w:hAnsi="Consolas" w:cs="Times New Roman"/>
          <w:b/>
          <w:bCs/>
          <w:color w:val="C1AA6C"/>
          <w:kern w:val="0"/>
          <w:lang w:eastAsia="ru-UA"/>
          <w14:ligatures w14:val="none"/>
        </w:rPr>
        <w:t>NUMERIC</w:t>
      </w:r>
      <w:r w:rsidRPr="00C774E9">
        <w:rPr>
          <w:rFonts w:ascii="Consolas" w:eastAsia="Times New Roman" w:hAnsi="Consolas" w:cs="Times New Roman"/>
          <w:color w:val="CCCCCC"/>
          <w:kern w:val="0"/>
          <w:lang w:eastAsia="ru-UA"/>
          <w14:ligatures w14:val="none"/>
        </w:rPr>
        <w:t>(</w:t>
      </w:r>
      <w:r w:rsidRPr="00C774E9">
        <w:rPr>
          <w:rFonts w:ascii="Consolas" w:eastAsia="Times New Roman" w:hAnsi="Consolas" w:cs="Times New Roman"/>
          <w:color w:val="C0C0C0"/>
          <w:kern w:val="0"/>
          <w:lang w:eastAsia="ru-UA"/>
          <w14:ligatures w14:val="none"/>
        </w:rPr>
        <w:t>10</w:t>
      </w:r>
      <w:r w:rsidRPr="00C774E9">
        <w:rPr>
          <w:rFonts w:ascii="Consolas" w:eastAsia="Times New Roman" w:hAnsi="Consolas" w:cs="Times New Roman"/>
          <w:color w:val="CCCCCC"/>
          <w:kern w:val="0"/>
          <w:lang w:eastAsia="ru-UA"/>
          <w14:ligatures w14:val="none"/>
        </w:rPr>
        <w:t>,</w:t>
      </w:r>
      <w:r w:rsidRPr="00C774E9">
        <w:rPr>
          <w:rFonts w:ascii="Consolas" w:eastAsia="Times New Roman" w:hAnsi="Consolas" w:cs="Times New Roman"/>
          <w:color w:val="C0C0C0"/>
          <w:kern w:val="0"/>
          <w:lang w:eastAsia="ru-UA"/>
          <w14:ligatures w14:val="none"/>
        </w:rPr>
        <w:t>2</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b/>
          <w:bCs/>
          <w:color w:val="739ECA"/>
          <w:kern w:val="0"/>
          <w:lang w:eastAsia="ru-UA"/>
          <w14:ligatures w14:val="none"/>
        </w:rPr>
        <w:t>AS</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total_revenue</w:t>
      </w:r>
    </w:p>
    <w:p w14:paraId="0D508822"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b/>
          <w:bCs/>
          <w:color w:val="739ECA"/>
          <w:kern w:val="0"/>
          <w:lang w:eastAsia="ru-UA"/>
          <w14:ligatures w14:val="none"/>
        </w:rPr>
        <w:t>FROM</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public</w:t>
      </w:r>
      <w:r w:rsidRPr="00C774E9">
        <w:rPr>
          <w:rFonts w:ascii="Consolas" w:eastAsia="Times New Roman" w:hAnsi="Consolas" w:cs="Times New Roman"/>
          <w:color w:val="CCCCCC"/>
          <w:kern w:val="0"/>
          <w:lang w:eastAsia="ru-UA"/>
          <w14:ligatures w14:val="none"/>
        </w:rPr>
        <w:t>.</w:t>
      </w:r>
      <w:r w:rsidRPr="00C774E9">
        <w:rPr>
          <w:rFonts w:ascii="Consolas" w:eastAsia="Times New Roman" w:hAnsi="Consolas" w:cs="Times New Roman"/>
          <w:color w:val="9E9E9E"/>
          <w:kern w:val="0"/>
          <w:lang w:eastAsia="ru-UA"/>
          <w14:ligatures w14:val="none"/>
        </w:rPr>
        <w:t>fmcg_sales_raw</w:t>
      </w:r>
    </w:p>
    <w:p w14:paraId="65834B5A" w14:textId="77777777" w:rsidR="001412AB" w:rsidRPr="00C774E9" w:rsidRDefault="001412AB" w:rsidP="001412AB">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b/>
          <w:bCs/>
          <w:color w:val="739ECA"/>
          <w:kern w:val="0"/>
          <w:lang w:eastAsia="ru-UA"/>
          <w14:ligatures w14:val="none"/>
        </w:rPr>
        <w:t>GROUP</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b/>
          <w:bCs/>
          <w:color w:val="739ECA"/>
          <w:kern w:val="0"/>
          <w:lang w:eastAsia="ru-UA"/>
          <w14:ligatures w14:val="none"/>
        </w:rPr>
        <w:t>BY</w:t>
      </w:r>
      <w:r w:rsidRPr="00C774E9">
        <w:rPr>
          <w:rFonts w:ascii="Consolas" w:eastAsia="Times New Roman" w:hAnsi="Consolas" w:cs="Times New Roman"/>
          <w:color w:val="CCCCCC"/>
          <w:kern w:val="0"/>
          <w:lang w:eastAsia="ru-UA"/>
          <w14:ligatures w14:val="none"/>
        </w:rPr>
        <w:t xml:space="preserve"> </w:t>
      </w:r>
    </w:p>
    <w:p w14:paraId="31A04D21" w14:textId="261048CE" w:rsidR="0012778D" w:rsidRPr="00C30832" w:rsidRDefault="001412AB" w:rsidP="00C30832">
      <w:pPr>
        <w:shd w:val="clear" w:color="auto" w:fill="2F2F2F"/>
        <w:spacing w:after="0" w:line="240" w:lineRule="auto"/>
        <w:rPr>
          <w:rFonts w:ascii="Consolas" w:eastAsia="Times New Roman" w:hAnsi="Consolas" w:cs="Times New Roman"/>
          <w:color w:val="CCCCCC"/>
          <w:kern w:val="0"/>
          <w:lang w:eastAsia="ru-UA"/>
          <w14:ligatures w14:val="none"/>
        </w:rPr>
      </w:pP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b/>
          <w:bCs/>
          <w:color w:val="C1AA6C"/>
          <w:kern w:val="0"/>
          <w:lang w:eastAsia="ru-UA"/>
          <w14:ligatures w14:val="none"/>
        </w:rPr>
        <w:t>"date"</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brand</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category</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channel</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region</w:t>
      </w:r>
      <w:r w:rsidRPr="00C774E9">
        <w:rPr>
          <w:rFonts w:ascii="Consolas" w:eastAsia="Times New Roman" w:hAnsi="Consolas" w:cs="Times New Roman"/>
          <w:color w:val="CCCCCC"/>
          <w:kern w:val="0"/>
          <w:lang w:eastAsia="ru-UA"/>
          <w14:ligatures w14:val="none"/>
        </w:rPr>
        <w:t xml:space="preserve">, </w:t>
      </w:r>
      <w:r w:rsidRPr="00C774E9">
        <w:rPr>
          <w:rFonts w:ascii="Consolas" w:eastAsia="Times New Roman" w:hAnsi="Consolas" w:cs="Times New Roman"/>
          <w:color w:val="9E9E9E"/>
          <w:kern w:val="0"/>
          <w:lang w:eastAsia="ru-UA"/>
          <w14:ligatures w14:val="none"/>
        </w:rPr>
        <w:t>promotion_flag</w:t>
      </w:r>
      <w:r w:rsidRPr="00C774E9">
        <w:rPr>
          <w:rFonts w:ascii="Consolas" w:eastAsia="Times New Roman" w:hAnsi="Consolas" w:cs="Times New Roman"/>
          <w:color w:val="EECC64"/>
          <w:kern w:val="0"/>
          <w:lang w:eastAsia="ru-UA"/>
          <w14:ligatures w14:val="none"/>
        </w:rPr>
        <w:t>;</w:t>
      </w:r>
    </w:p>
    <w:p w14:paraId="1BFE297D" w14:textId="77777777" w:rsidR="00C30832" w:rsidRDefault="00C30832" w:rsidP="00890B89">
      <w:pPr>
        <w:rPr>
          <w:rFonts w:ascii="Segoe UI" w:hAnsi="Segoe UI" w:cs="Segoe UI"/>
          <w:sz w:val="28"/>
          <w:szCs w:val="28"/>
          <w:lang w:val="uk-UA"/>
        </w:rPr>
      </w:pPr>
    </w:p>
    <w:p w14:paraId="73F70F97" w14:textId="6E0A4B78" w:rsidR="00C774E9" w:rsidRDefault="00C774E9" w:rsidP="00C774E9">
      <w:pPr>
        <w:ind w:firstLine="720"/>
        <w:rPr>
          <w:rFonts w:ascii="Segoe UI" w:hAnsi="Segoe UI" w:cs="Segoe UI"/>
          <w:sz w:val="28"/>
          <w:szCs w:val="28"/>
          <w:lang w:val="uk-UA"/>
        </w:rPr>
      </w:pPr>
      <w:r w:rsidRPr="00C774E9">
        <w:rPr>
          <w:rFonts w:ascii="Segoe UI" w:hAnsi="Segoe UI" w:cs="Segoe UI"/>
          <w:sz w:val="28"/>
          <w:szCs w:val="28"/>
        </w:rPr>
        <w:t xml:space="preserve">Наступним інженерним завданням розробки стало винесення складних розрахунків динаміки продажів на рівень СУБД. Для аналізу темпів приросту виторгу було створено окреме представлення </w:t>
      </w:r>
      <w:r w:rsidRPr="00C57837">
        <w:rPr>
          <w:rFonts w:ascii="Segoe UI" w:hAnsi="Segoe UI" w:cs="Segoe UI"/>
          <w:i/>
          <w:iCs/>
          <w:sz w:val="28"/>
          <w:szCs w:val="28"/>
        </w:rPr>
        <w:t>v_monthly_growth_analysis</w:t>
      </w:r>
      <w:r w:rsidRPr="00C774E9">
        <w:rPr>
          <w:rFonts w:ascii="Segoe UI" w:hAnsi="Segoe UI" w:cs="Segoe UI"/>
          <w:sz w:val="28"/>
          <w:szCs w:val="28"/>
        </w:rPr>
        <w:t>. Розрахунок щомісячного темпу приросту</w:t>
      </w:r>
      <w:r>
        <w:rPr>
          <w:rFonts w:ascii="Segoe UI" w:hAnsi="Segoe UI" w:cs="Segoe UI"/>
          <w:sz w:val="28"/>
          <w:szCs w:val="28"/>
        </w:rPr>
        <w:t xml:space="preserve"> </w:t>
      </w:r>
      <w:r w:rsidRPr="00C774E9">
        <w:rPr>
          <w:rFonts w:ascii="Segoe UI" w:hAnsi="Segoe UI" w:cs="Segoe UI"/>
          <w:sz w:val="28"/>
          <w:szCs w:val="28"/>
        </w:rPr>
        <w:t xml:space="preserve">реалізовано за допомогою аналітичної віконної функції </w:t>
      </w:r>
      <w:r w:rsidRPr="00C57837">
        <w:rPr>
          <w:rFonts w:ascii="Segoe UI" w:hAnsi="Segoe UI" w:cs="Segoe UI"/>
          <w:i/>
          <w:iCs/>
          <w:sz w:val="28"/>
          <w:szCs w:val="28"/>
        </w:rPr>
        <w:t>LAG()</w:t>
      </w:r>
      <w:r w:rsidRPr="00C774E9">
        <w:rPr>
          <w:rFonts w:ascii="Segoe UI" w:hAnsi="Segoe UI" w:cs="Segoe UI"/>
          <w:sz w:val="28"/>
          <w:szCs w:val="28"/>
        </w:rPr>
        <w:t>, яка дозволила зіставляти фінансові показники поточного місяця з попереднім у розрізі кожного календарного року.</w:t>
      </w:r>
    </w:p>
    <w:p w14:paraId="17329FD1"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b/>
          <w:bCs/>
          <w:color w:val="739ECA"/>
          <w:kern w:val="0"/>
          <w:lang w:eastAsia="ru-UA"/>
          <w14:ligatures w14:val="none"/>
        </w:rPr>
        <w:t>CREATE</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OR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REPLACE</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B788D3"/>
          <w:kern w:val="0"/>
          <w:lang w:eastAsia="ru-UA"/>
          <w14:ligatures w14:val="none"/>
        </w:rPr>
        <w:t>VIEW</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00B8B8"/>
          <w:kern w:val="0"/>
          <w:lang w:eastAsia="ru-UA"/>
          <w14:ligatures w14:val="none"/>
        </w:rPr>
        <w:t>public</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color w:val="9E9E9E"/>
          <w:kern w:val="0"/>
          <w:lang w:eastAsia="ru-UA"/>
          <w14:ligatures w14:val="none"/>
        </w:rPr>
        <w:t>v_monthly_growth_analysis</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AS</w:t>
      </w:r>
    </w:p>
    <w:p w14:paraId="0C29CA34"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b/>
          <w:bCs/>
          <w:color w:val="739ECA"/>
          <w:kern w:val="0"/>
          <w:lang w:eastAsia="ru-UA"/>
          <w14:ligatures w14:val="none"/>
        </w:rPr>
        <w:t>WITH</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monthly_revenue</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AS</w:t>
      </w:r>
      <w:r w:rsidRPr="000946C5">
        <w:rPr>
          <w:rFonts w:ascii="Consolas" w:eastAsia="Times New Roman" w:hAnsi="Consolas" w:cs="Times New Roman"/>
          <w:color w:val="CCCCCC"/>
          <w:kern w:val="0"/>
          <w:lang w:eastAsia="ru-UA"/>
          <w14:ligatures w14:val="none"/>
        </w:rPr>
        <w:t xml:space="preserve"> (</w:t>
      </w:r>
    </w:p>
    <w:p w14:paraId="3A3EE5FD"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SELECT</w:t>
      </w:r>
      <w:r w:rsidRPr="000946C5">
        <w:rPr>
          <w:rFonts w:ascii="Consolas" w:eastAsia="Times New Roman" w:hAnsi="Consolas" w:cs="Times New Roman"/>
          <w:color w:val="CCCCCC"/>
          <w:kern w:val="0"/>
          <w:lang w:eastAsia="ru-UA"/>
          <w14:ligatures w14:val="none"/>
        </w:rPr>
        <w:t xml:space="preserve"> </w:t>
      </w:r>
    </w:p>
    <w:p w14:paraId="1A09DE20"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EXTRACT</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b/>
          <w:bCs/>
          <w:color w:val="739ECA"/>
          <w:kern w:val="0"/>
          <w:lang w:eastAsia="ru-UA"/>
          <w14:ligatures w14:val="none"/>
        </w:rPr>
        <w:t>YEAR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FROM</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C1AA6C"/>
          <w:kern w:val="0"/>
          <w:lang w:eastAsia="ru-UA"/>
          <w14:ligatures w14:val="none"/>
        </w:rPr>
        <w:t>"date"</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b/>
          <w:bCs/>
          <w:color w:val="C1AA6C"/>
          <w:kern w:val="0"/>
          <w:lang w:eastAsia="ru-UA"/>
          <w14:ligatures w14:val="none"/>
        </w:rPr>
        <w:t>INT</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AS</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sale_year</w:t>
      </w:r>
      <w:r w:rsidRPr="000946C5">
        <w:rPr>
          <w:rFonts w:ascii="Consolas" w:eastAsia="Times New Roman" w:hAnsi="Consolas" w:cs="Times New Roman"/>
          <w:color w:val="CCCCCC"/>
          <w:kern w:val="0"/>
          <w:lang w:eastAsia="ru-UA"/>
          <w14:ligatures w14:val="none"/>
        </w:rPr>
        <w:t>,</w:t>
      </w:r>
    </w:p>
    <w:p w14:paraId="079B227B"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EXTRACT</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b/>
          <w:bCs/>
          <w:color w:val="739ECA"/>
          <w:kern w:val="0"/>
          <w:lang w:eastAsia="ru-UA"/>
          <w14:ligatures w14:val="none"/>
        </w:rPr>
        <w:t>MONTH</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FROM</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C1AA6C"/>
          <w:kern w:val="0"/>
          <w:lang w:eastAsia="ru-UA"/>
          <w14:ligatures w14:val="none"/>
        </w:rPr>
        <w:t>"date"</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b/>
          <w:bCs/>
          <w:color w:val="C1AA6C"/>
          <w:kern w:val="0"/>
          <w:lang w:eastAsia="ru-UA"/>
          <w14:ligatures w14:val="none"/>
        </w:rPr>
        <w:t>INT</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AS</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sale_month</w:t>
      </w:r>
      <w:r w:rsidRPr="000946C5">
        <w:rPr>
          <w:rFonts w:ascii="Consolas" w:eastAsia="Times New Roman" w:hAnsi="Consolas" w:cs="Times New Roman"/>
          <w:color w:val="CCCCCC"/>
          <w:kern w:val="0"/>
          <w:lang w:eastAsia="ru-UA"/>
          <w14:ligatures w14:val="none"/>
        </w:rPr>
        <w:t>,</w:t>
      </w:r>
    </w:p>
    <w:p w14:paraId="65868CA4"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C1AA6C"/>
          <w:kern w:val="0"/>
          <w:lang w:eastAsia="ru-UA"/>
          <w14:ligatures w14:val="none"/>
        </w:rPr>
        <w:t>SUM</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color w:val="9E9E9E"/>
          <w:kern w:val="0"/>
          <w:lang w:eastAsia="ru-UA"/>
          <w14:ligatures w14:val="none"/>
        </w:rPr>
        <w:t>total_revenue</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AS</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current_month_revenue</w:t>
      </w:r>
    </w:p>
    <w:p w14:paraId="75CE661D"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FROM</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public</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color w:val="9E9E9E"/>
          <w:kern w:val="0"/>
          <w:lang w:eastAsia="ru-UA"/>
          <w14:ligatures w14:val="none"/>
        </w:rPr>
        <w:t>v_fmcg_sales_mart</w:t>
      </w:r>
    </w:p>
    <w:p w14:paraId="0A304E04"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GROUP</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BY</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EXTRACT</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b/>
          <w:bCs/>
          <w:color w:val="739ECA"/>
          <w:kern w:val="0"/>
          <w:lang w:eastAsia="ru-UA"/>
          <w14:ligatures w14:val="none"/>
        </w:rPr>
        <w:t>YEAR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FROM</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C1AA6C"/>
          <w:kern w:val="0"/>
          <w:lang w:eastAsia="ru-UA"/>
          <w14:ligatures w14:val="none"/>
        </w:rPr>
        <w:t>"date"</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EXTRACT</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b/>
          <w:bCs/>
          <w:color w:val="739ECA"/>
          <w:kern w:val="0"/>
          <w:lang w:eastAsia="ru-UA"/>
          <w14:ligatures w14:val="none"/>
        </w:rPr>
        <w:t>MONTH</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FROM</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C1AA6C"/>
          <w:kern w:val="0"/>
          <w:lang w:eastAsia="ru-UA"/>
          <w14:ligatures w14:val="none"/>
        </w:rPr>
        <w:t>"date"</w:t>
      </w:r>
      <w:r w:rsidRPr="000946C5">
        <w:rPr>
          <w:rFonts w:ascii="Consolas" w:eastAsia="Times New Roman" w:hAnsi="Consolas" w:cs="Times New Roman"/>
          <w:color w:val="CCCCCC"/>
          <w:kern w:val="0"/>
          <w:lang w:eastAsia="ru-UA"/>
          <w14:ligatures w14:val="none"/>
        </w:rPr>
        <w:t>)</w:t>
      </w:r>
    </w:p>
    <w:p w14:paraId="7A2D9D15"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w:t>
      </w:r>
    </w:p>
    <w:p w14:paraId="42F02038"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b/>
          <w:bCs/>
          <w:color w:val="739ECA"/>
          <w:kern w:val="0"/>
          <w:lang w:eastAsia="ru-UA"/>
          <w14:ligatures w14:val="none"/>
        </w:rPr>
        <w:t>SELECT</w:t>
      </w:r>
      <w:r w:rsidRPr="000946C5">
        <w:rPr>
          <w:rFonts w:ascii="Consolas" w:eastAsia="Times New Roman" w:hAnsi="Consolas" w:cs="Times New Roman"/>
          <w:color w:val="CCCCCC"/>
          <w:kern w:val="0"/>
          <w:lang w:eastAsia="ru-UA"/>
          <w14:ligatures w14:val="none"/>
        </w:rPr>
        <w:t xml:space="preserve"> </w:t>
      </w:r>
    </w:p>
    <w:p w14:paraId="1110EC46"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sale_year</w:t>
      </w:r>
      <w:r w:rsidRPr="000946C5">
        <w:rPr>
          <w:rFonts w:ascii="Consolas" w:eastAsia="Times New Roman" w:hAnsi="Consolas" w:cs="Times New Roman"/>
          <w:color w:val="CCCCCC"/>
          <w:kern w:val="0"/>
          <w:lang w:eastAsia="ru-UA"/>
          <w14:ligatures w14:val="none"/>
        </w:rPr>
        <w:t>,</w:t>
      </w:r>
    </w:p>
    <w:p w14:paraId="5144EA6F"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sale_month</w:t>
      </w:r>
      <w:r w:rsidRPr="000946C5">
        <w:rPr>
          <w:rFonts w:ascii="Consolas" w:eastAsia="Times New Roman" w:hAnsi="Consolas" w:cs="Times New Roman"/>
          <w:color w:val="CCCCCC"/>
          <w:kern w:val="0"/>
          <w:lang w:eastAsia="ru-UA"/>
          <w14:ligatures w14:val="none"/>
        </w:rPr>
        <w:t>,</w:t>
      </w:r>
    </w:p>
    <w:p w14:paraId="5BE27638" w14:textId="77777777" w:rsidR="00C774E9" w:rsidRPr="00C57837" w:rsidRDefault="00C774E9" w:rsidP="00C774E9">
      <w:pPr>
        <w:shd w:val="clear" w:color="auto" w:fill="2F2F2F"/>
        <w:spacing w:after="0" w:line="240" w:lineRule="auto"/>
        <w:rPr>
          <w:rFonts w:ascii="Consolas" w:eastAsia="Times New Roman" w:hAnsi="Consolas" w:cs="Times New Roman"/>
          <w:color w:val="CCCCCC"/>
          <w:kern w:val="0"/>
          <w:lang w:val="uk-UA"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current_month_revenue</w:t>
      </w:r>
      <w:r w:rsidRPr="000946C5">
        <w:rPr>
          <w:rFonts w:ascii="Consolas" w:eastAsia="Times New Roman" w:hAnsi="Consolas" w:cs="Times New Roman"/>
          <w:color w:val="CCCCCC"/>
          <w:kern w:val="0"/>
          <w:lang w:eastAsia="ru-UA"/>
          <w14:ligatures w14:val="none"/>
        </w:rPr>
        <w:t>,</w:t>
      </w:r>
    </w:p>
    <w:p w14:paraId="19DE30A4" w14:textId="6B28EC10" w:rsidR="00C774E9" w:rsidRPr="00FB01B1" w:rsidRDefault="00C774E9" w:rsidP="00FB01B1">
      <w:pPr>
        <w:shd w:val="clear" w:color="auto" w:fill="2F2F2F"/>
        <w:tabs>
          <w:tab w:val="left" w:pos="5772"/>
        </w:tabs>
        <w:spacing w:after="0" w:line="240" w:lineRule="auto"/>
        <w:rPr>
          <w:rFonts w:ascii="Consolas" w:eastAsia="Times New Roman" w:hAnsi="Consolas" w:cs="Times New Roman"/>
          <w:color w:val="CCCCCC"/>
          <w:kern w:val="0"/>
          <w:lang w:val="uk-UA"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C1AA6C"/>
          <w:kern w:val="0"/>
          <w:lang w:eastAsia="ru-UA"/>
          <w14:ligatures w14:val="none"/>
        </w:rPr>
        <w:t>LAG</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color w:val="9E9E9E"/>
          <w:kern w:val="0"/>
          <w:lang w:eastAsia="ru-UA"/>
          <w14:ligatures w14:val="none"/>
        </w:rPr>
        <w:t>current_month_revenue</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OVER</w:t>
      </w:r>
      <w:r w:rsidRPr="000946C5">
        <w:rPr>
          <w:rFonts w:ascii="Consolas" w:eastAsia="Times New Roman" w:hAnsi="Consolas" w:cs="Times New Roman"/>
          <w:color w:val="CCCCCC"/>
          <w:kern w:val="0"/>
          <w:lang w:eastAsia="ru-UA"/>
          <w14:ligatures w14:val="none"/>
        </w:rPr>
        <w:t xml:space="preserve"> (</w:t>
      </w:r>
    </w:p>
    <w:p w14:paraId="7BFCC570"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PARTITION</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BY</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sale_year</w:t>
      </w:r>
      <w:r w:rsidRPr="000946C5">
        <w:rPr>
          <w:rFonts w:ascii="Consolas" w:eastAsia="Times New Roman" w:hAnsi="Consolas" w:cs="Times New Roman"/>
          <w:color w:val="CCCCCC"/>
          <w:kern w:val="0"/>
          <w:lang w:eastAsia="ru-UA"/>
          <w14:ligatures w14:val="none"/>
        </w:rPr>
        <w:t xml:space="preserve"> </w:t>
      </w:r>
    </w:p>
    <w:p w14:paraId="2B2F4CEE"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ORDER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BY</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sale_month</w:t>
      </w:r>
    </w:p>
    <w:p w14:paraId="50A70806"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 </w:t>
      </w:r>
      <w:r w:rsidRPr="000946C5">
        <w:rPr>
          <w:rFonts w:ascii="Consolas" w:eastAsia="Times New Roman" w:hAnsi="Consolas" w:cs="Times New Roman"/>
          <w:b/>
          <w:bCs/>
          <w:color w:val="739ECA"/>
          <w:kern w:val="0"/>
          <w:lang w:eastAsia="ru-UA"/>
          <w14:ligatures w14:val="none"/>
        </w:rPr>
        <w:t>AS</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prev_month_revenue</w:t>
      </w:r>
      <w:r w:rsidRPr="000946C5">
        <w:rPr>
          <w:rFonts w:ascii="Consolas" w:eastAsia="Times New Roman" w:hAnsi="Consolas" w:cs="Times New Roman"/>
          <w:color w:val="CCCCCC"/>
          <w:kern w:val="0"/>
          <w:lang w:eastAsia="ru-UA"/>
          <w14:ligatures w14:val="none"/>
        </w:rPr>
        <w:t>,</w:t>
      </w:r>
    </w:p>
    <w:p w14:paraId="32EBA58C"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C1AA6C"/>
          <w:kern w:val="0"/>
          <w:lang w:eastAsia="ru-UA"/>
          <w14:ligatures w14:val="none"/>
        </w:rPr>
        <w:t>ROUND</w:t>
      </w:r>
      <w:r w:rsidRPr="000946C5">
        <w:rPr>
          <w:rFonts w:ascii="Consolas" w:eastAsia="Times New Roman" w:hAnsi="Consolas" w:cs="Times New Roman"/>
          <w:color w:val="CCCCCC"/>
          <w:kern w:val="0"/>
          <w:lang w:eastAsia="ru-UA"/>
          <w14:ligatures w14:val="none"/>
        </w:rPr>
        <w:t>(</w:t>
      </w:r>
    </w:p>
    <w:p w14:paraId="153ABDC2"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current_month_revenue</w:t>
      </w:r>
      <w:r w:rsidRPr="000946C5">
        <w:rPr>
          <w:rFonts w:ascii="Consolas" w:eastAsia="Times New Roman" w:hAnsi="Consolas" w:cs="Times New Roman"/>
          <w:color w:val="CCCCCC"/>
          <w:kern w:val="0"/>
          <w:lang w:eastAsia="ru-UA"/>
          <w14:ligatures w14:val="none"/>
        </w:rPr>
        <w:t xml:space="preserve"> - </w:t>
      </w:r>
      <w:r w:rsidRPr="000946C5">
        <w:rPr>
          <w:rFonts w:ascii="Consolas" w:eastAsia="Times New Roman" w:hAnsi="Consolas" w:cs="Times New Roman"/>
          <w:b/>
          <w:bCs/>
          <w:color w:val="C1AA6C"/>
          <w:kern w:val="0"/>
          <w:lang w:eastAsia="ru-UA"/>
          <w14:ligatures w14:val="none"/>
        </w:rPr>
        <w:t>LAG</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color w:val="9E9E9E"/>
          <w:kern w:val="0"/>
          <w:lang w:eastAsia="ru-UA"/>
          <w14:ligatures w14:val="none"/>
        </w:rPr>
        <w:t>current_month_revenue</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OVER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PARTITION</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BY</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sale_year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ORDER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BY</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sale_month</w:t>
      </w:r>
      <w:r w:rsidRPr="000946C5">
        <w:rPr>
          <w:rFonts w:ascii="Consolas" w:eastAsia="Times New Roman" w:hAnsi="Consolas" w:cs="Times New Roman"/>
          <w:color w:val="CCCCCC"/>
          <w:kern w:val="0"/>
          <w:lang w:eastAsia="ru-UA"/>
          <w14:ligatures w14:val="none"/>
        </w:rPr>
        <w:t xml:space="preserve">)) </w:t>
      </w:r>
    </w:p>
    <w:p w14:paraId="098E8369"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 </w:t>
      </w:r>
      <w:r w:rsidRPr="000946C5">
        <w:rPr>
          <w:rFonts w:ascii="Consolas" w:eastAsia="Times New Roman" w:hAnsi="Consolas" w:cs="Times New Roman"/>
          <w:b/>
          <w:bCs/>
          <w:color w:val="C1AA6C"/>
          <w:kern w:val="0"/>
          <w:lang w:eastAsia="ru-UA"/>
          <w14:ligatures w14:val="none"/>
        </w:rPr>
        <w:t>LAG</w:t>
      </w:r>
      <w:r w:rsidRPr="000946C5">
        <w:rPr>
          <w:rFonts w:ascii="Consolas" w:eastAsia="Times New Roman" w:hAnsi="Consolas" w:cs="Times New Roman"/>
          <w:color w:val="CCCCCC"/>
          <w:kern w:val="0"/>
          <w:lang w:eastAsia="ru-UA"/>
          <w14:ligatures w14:val="none"/>
        </w:rPr>
        <w:t>(</w:t>
      </w:r>
      <w:r w:rsidRPr="000946C5">
        <w:rPr>
          <w:rFonts w:ascii="Consolas" w:eastAsia="Times New Roman" w:hAnsi="Consolas" w:cs="Times New Roman"/>
          <w:color w:val="9E9E9E"/>
          <w:kern w:val="0"/>
          <w:lang w:eastAsia="ru-UA"/>
          <w14:ligatures w14:val="none"/>
        </w:rPr>
        <w:t>current_month_revenue</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OVER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PARTITION</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BY</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sale_year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ORDER</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b/>
          <w:bCs/>
          <w:color w:val="739ECA"/>
          <w:kern w:val="0"/>
          <w:lang w:eastAsia="ru-UA"/>
          <w14:ligatures w14:val="none"/>
        </w:rPr>
        <w:t>BY</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sale_month</w:t>
      </w:r>
      <w:r w:rsidRPr="000946C5">
        <w:rPr>
          <w:rFonts w:ascii="Consolas" w:eastAsia="Times New Roman" w:hAnsi="Consolas" w:cs="Times New Roman"/>
          <w:color w:val="CCCCCC"/>
          <w:kern w:val="0"/>
          <w:lang w:eastAsia="ru-UA"/>
          <w14:ligatures w14:val="none"/>
        </w:rPr>
        <w:t xml:space="preserve">)) * </w:t>
      </w:r>
      <w:r w:rsidRPr="000946C5">
        <w:rPr>
          <w:rFonts w:ascii="Consolas" w:eastAsia="Times New Roman" w:hAnsi="Consolas" w:cs="Times New Roman"/>
          <w:color w:val="C0C0C0"/>
          <w:kern w:val="0"/>
          <w:lang w:eastAsia="ru-UA"/>
          <w14:ligatures w14:val="none"/>
        </w:rPr>
        <w:t>100</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C0C0C0"/>
          <w:kern w:val="0"/>
          <w:lang w:eastAsia="ru-UA"/>
          <w14:ligatures w14:val="none"/>
        </w:rPr>
        <w:t>2</w:t>
      </w:r>
    </w:p>
    <w:p w14:paraId="3B541502"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color w:val="CCCCCC"/>
          <w:kern w:val="0"/>
          <w:lang w:eastAsia="ru-UA"/>
          <w14:ligatures w14:val="none"/>
        </w:rPr>
        <w:t xml:space="preserve">    ) </w:t>
      </w:r>
      <w:r w:rsidRPr="000946C5">
        <w:rPr>
          <w:rFonts w:ascii="Consolas" w:eastAsia="Times New Roman" w:hAnsi="Consolas" w:cs="Times New Roman"/>
          <w:b/>
          <w:bCs/>
          <w:color w:val="739ECA"/>
          <w:kern w:val="0"/>
          <w:lang w:eastAsia="ru-UA"/>
          <w14:ligatures w14:val="none"/>
        </w:rPr>
        <w:t>AS</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growth_percentage</w:t>
      </w:r>
    </w:p>
    <w:p w14:paraId="23B6BA9B" w14:textId="77777777" w:rsidR="00C774E9" w:rsidRPr="000946C5" w:rsidRDefault="00C774E9" w:rsidP="00C774E9">
      <w:pPr>
        <w:shd w:val="clear" w:color="auto" w:fill="2F2F2F"/>
        <w:spacing w:after="0" w:line="240" w:lineRule="auto"/>
        <w:rPr>
          <w:rFonts w:ascii="Consolas" w:eastAsia="Times New Roman" w:hAnsi="Consolas" w:cs="Times New Roman"/>
          <w:color w:val="CCCCCC"/>
          <w:kern w:val="0"/>
          <w:lang w:eastAsia="ru-UA"/>
          <w14:ligatures w14:val="none"/>
        </w:rPr>
      </w:pPr>
      <w:r w:rsidRPr="000946C5">
        <w:rPr>
          <w:rFonts w:ascii="Consolas" w:eastAsia="Times New Roman" w:hAnsi="Consolas" w:cs="Times New Roman"/>
          <w:b/>
          <w:bCs/>
          <w:color w:val="739ECA"/>
          <w:kern w:val="0"/>
          <w:lang w:eastAsia="ru-UA"/>
          <w14:ligatures w14:val="none"/>
        </w:rPr>
        <w:t>FROM</w:t>
      </w:r>
      <w:r w:rsidRPr="000946C5">
        <w:rPr>
          <w:rFonts w:ascii="Consolas" w:eastAsia="Times New Roman" w:hAnsi="Consolas" w:cs="Times New Roman"/>
          <w:color w:val="CCCCCC"/>
          <w:kern w:val="0"/>
          <w:lang w:eastAsia="ru-UA"/>
          <w14:ligatures w14:val="none"/>
        </w:rPr>
        <w:t xml:space="preserve"> </w:t>
      </w:r>
      <w:r w:rsidRPr="000946C5">
        <w:rPr>
          <w:rFonts w:ascii="Consolas" w:eastAsia="Times New Roman" w:hAnsi="Consolas" w:cs="Times New Roman"/>
          <w:color w:val="9E9E9E"/>
          <w:kern w:val="0"/>
          <w:lang w:eastAsia="ru-UA"/>
          <w14:ligatures w14:val="none"/>
        </w:rPr>
        <w:t>monthly_revenue</w:t>
      </w:r>
      <w:r w:rsidRPr="000946C5">
        <w:rPr>
          <w:rFonts w:ascii="Consolas" w:eastAsia="Times New Roman" w:hAnsi="Consolas" w:cs="Times New Roman"/>
          <w:color w:val="EECC64"/>
          <w:kern w:val="0"/>
          <w:lang w:eastAsia="ru-UA"/>
          <w14:ligatures w14:val="none"/>
        </w:rPr>
        <w:t>;</w:t>
      </w:r>
    </w:p>
    <w:p w14:paraId="400BDB5A" w14:textId="77777777" w:rsidR="000946C5" w:rsidRDefault="000946C5" w:rsidP="000946C5">
      <w:pPr>
        <w:rPr>
          <w:rFonts w:ascii="Times New Roman" w:hAnsi="Times New Roman" w:cs="Times New Roman"/>
          <w:b/>
          <w:bCs/>
          <w:sz w:val="28"/>
          <w:szCs w:val="28"/>
        </w:rPr>
      </w:pPr>
    </w:p>
    <w:p w14:paraId="5F5AA5AF" w14:textId="41A05C90" w:rsidR="000946C5" w:rsidRPr="000946C5" w:rsidRDefault="000946C5" w:rsidP="000946C5">
      <w:pPr>
        <w:ind w:firstLine="720"/>
        <w:jc w:val="center"/>
        <w:rPr>
          <w:rFonts w:ascii="Segoe UI" w:hAnsi="Segoe UI" w:cs="Segoe UI"/>
          <w:b/>
          <w:bCs/>
          <w:sz w:val="28"/>
          <w:szCs w:val="28"/>
        </w:rPr>
      </w:pPr>
      <w:r w:rsidRPr="000946C5">
        <w:rPr>
          <w:rFonts w:ascii="Segoe UI" w:hAnsi="Segoe UI" w:cs="Segoe UI"/>
          <w:b/>
          <w:bCs/>
          <w:sz w:val="28"/>
          <w:szCs w:val="28"/>
        </w:rPr>
        <w:lastRenderedPageBreak/>
        <w:t>Частина 4: Інтерактивне моделювання та налаштування зв'язків у Power BI</w:t>
      </w:r>
    </w:p>
    <w:p w14:paraId="3091CB38" w14:textId="7291B9BF" w:rsidR="005576B9" w:rsidRPr="005576B9" w:rsidRDefault="005576B9" w:rsidP="005576B9">
      <w:pPr>
        <w:ind w:firstLine="720"/>
        <w:rPr>
          <w:rFonts w:ascii="Segoe UI" w:hAnsi="Segoe UI" w:cs="Segoe UI"/>
          <w:sz w:val="28"/>
          <w:szCs w:val="28"/>
        </w:rPr>
      </w:pPr>
      <w:r>
        <w:rPr>
          <w:rFonts w:ascii="Segoe UI" w:hAnsi="Segoe UI" w:cs="Segoe UI"/>
          <w:sz w:val="28"/>
          <w:szCs w:val="28"/>
        </w:rPr>
        <w:t>П</w:t>
      </w:r>
      <w:r w:rsidRPr="005576B9">
        <w:rPr>
          <w:rFonts w:ascii="Segoe UI" w:hAnsi="Segoe UI" w:cs="Segoe UI"/>
          <w:sz w:val="28"/>
          <w:szCs w:val="28"/>
        </w:rPr>
        <w:t xml:space="preserve">ісля імпорту розроблених SQL-вітрин у Power BI виникла проблема розсинхронізації фільтрації. Оскільки розрахунки </w:t>
      </w:r>
      <w:r>
        <w:rPr>
          <w:rFonts w:ascii="Segoe UI" w:hAnsi="Segoe UI" w:cs="Segoe UI"/>
          <w:sz w:val="28"/>
          <w:szCs w:val="28"/>
        </w:rPr>
        <w:t xml:space="preserve">базувалися </w:t>
      </w:r>
      <w:r w:rsidRPr="005576B9">
        <w:rPr>
          <w:rFonts w:ascii="Segoe UI" w:hAnsi="Segoe UI" w:cs="Segoe UI"/>
          <w:sz w:val="28"/>
          <w:szCs w:val="28"/>
        </w:rPr>
        <w:t>на трьох різних представленнях СУБД, стандартний зріз по роках керував лише однією візуалізацією, ігноруючи інші графіки. Для створення єдиного аналітичного контуру було налаштовано взаємозв'язки між таблицями безпосередньо всередині моделі Power BI.</w:t>
      </w:r>
    </w:p>
    <w:p w14:paraId="642DE641" w14:textId="5DB9F56A" w:rsidR="005576B9" w:rsidRPr="005576B9" w:rsidRDefault="005576B9" w:rsidP="005576B9">
      <w:pPr>
        <w:ind w:firstLine="720"/>
        <w:rPr>
          <w:rFonts w:ascii="Segoe UI" w:hAnsi="Segoe UI" w:cs="Segoe UI"/>
          <w:sz w:val="28"/>
          <w:szCs w:val="28"/>
        </w:rPr>
      </w:pPr>
      <w:r w:rsidRPr="005576B9">
        <w:rPr>
          <w:rFonts w:ascii="Segoe UI" w:hAnsi="Segoe UI" w:cs="Segoe UI"/>
          <w:sz w:val="28"/>
          <w:szCs w:val="28"/>
        </w:rPr>
        <w:t xml:space="preserve">Зв'язок між вітринами було реалізовано через поле року. Головна таблиця </w:t>
      </w:r>
      <w:r w:rsidRPr="00C57837">
        <w:rPr>
          <w:rFonts w:ascii="Segoe UI" w:hAnsi="Segoe UI" w:cs="Segoe UI"/>
          <w:i/>
          <w:iCs/>
          <w:sz w:val="28"/>
          <w:szCs w:val="28"/>
        </w:rPr>
        <w:t>v_fmcg_sales_mart</w:t>
      </w:r>
      <w:r w:rsidRPr="005576B9">
        <w:rPr>
          <w:rFonts w:ascii="Segoe UI" w:hAnsi="Segoe UI" w:cs="Segoe UI"/>
          <w:sz w:val="28"/>
          <w:szCs w:val="28"/>
        </w:rPr>
        <w:t xml:space="preserve"> була послідовно з'єднана з таблицею щомісячного росту та таблицею каналів збуту</w:t>
      </w:r>
      <w:r w:rsidR="00C57837">
        <w:rPr>
          <w:rFonts w:ascii="Segoe UI" w:hAnsi="Segoe UI" w:cs="Segoe UI"/>
          <w:sz w:val="28"/>
          <w:szCs w:val="28"/>
          <w:lang w:val="uk-UA"/>
        </w:rPr>
        <w:t xml:space="preserve">. </w:t>
      </w:r>
      <w:r w:rsidR="00C57837">
        <w:rPr>
          <w:rFonts w:ascii="Segoe UI" w:hAnsi="Segoe UI" w:cs="Segoe UI"/>
          <w:sz w:val="28"/>
          <w:szCs w:val="28"/>
          <w:lang w:val="uk-UA"/>
        </w:rPr>
        <w:tab/>
      </w:r>
      <w:r w:rsidRPr="005576B9">
        <w:rPr>
          <w:rFonts w:ascii="Segoe UI" w:hAnsi="Segoe UI" w:cs="Segoe UI"/>
          <w:sz w:val="28"/>
          <w:szCs w:val="28"/>
        </w:rPr>
        <w:t>Через те, що кожна вітрина містить уже агреговані дані, де значення років багаторазово дублюються в різних рядках, для інтеграції було використано тип зв'язку багато до багатьо</w:t>
      </w:r>
      <w:r>
        <w:rPr>
          <w:rFonts w:ascii="Segoe UI" w:hAnsi="Segoe UI" w:cs="Segoe UI"/>
          <w:sz w:val="28"/>
          <w:szCs w:val="28"/>
        </w:rPr>
        <w:t>х.</w:t>
      </w:r>
    </w:p>
    <w:p w14:paraId="5B8349C3" w14:textId="75E1D6E4" w:rsidR="000946C5" w:rsidRPr="008B4359" w:rsidRDefault="005576B9" w:rsidP="008B4359">
      <w:pPr>
        <w:ind w:firstLine="720"/>
        <w:rPr>
          <w:rFonts w:ascii="Segoe UI" w:hAnsi="Segoe UI" w:cs="Segoe UI"/>
          <w:sz w:val="28"/>
          <w:szCs w:val="28"/>
          <w:lang w:val="ru-RU"/>
        </w:rPr>
      </w:pPr>
      <w:r w:rsidRPr="005576B9">
        <w:rPr>
          <w:rFonts w:ascii="Segoe UI" w:hAnsi="Segoe UI" w:cs="Segoe UI"/>
          <w:sz w:val="28"/>
          <w:szCs w:val="28"/>
        </w:rPr>
        <w:t xml:space="preserve">Для того, щоб вибір року на дашборді одночасно перераховував усі графіки, стандартний напрямок фільтрації у налаштуваннях зв'язків було </w:t>
      </w:r>
      <w:r>
        <w:rPr>
          <w:rFonts w:ascii="Segoe UI" w:hAnsi="Segoe UI" w:cs="Segoe UI"/>
          <w:sz w:val="28"/>
          <w:szCs w:val="28"/>
        </w:rPr>
        <w:t>встановлено в обидва боки</w:t>
      </w:r>
      <w:r w:rsidRPr="005576B9">
        <w:rPr>
          <w:rFonts w:ascii="Segoe UI" w:hAnsi="Segoe UI" w:cs="Segoe UI"/>
          <w:sz w:val="28"/>
          <w:szCs w:val="28"/>
        </w:rPr>
        <w:t xml:space="preserve">. У результаті додавання на полотно інтерактивного блоку кнопок дозволило одним кліком синхронно перемикати аналітичний контекст усього дашборду між </w:t>
      </w:r>
      <w:r w:rsidR="00890B89">
        <w:rPr>
          <w:rFonts w:ascii="Segoe UI" w:hAnsi="Segoe UI" w:cs="Segoe UI"/>
          <w:sz w:val="28"/>
          <w:szCs w:val="28"/>
          <w:lang w:val="uk-UA"/>
        </w:rPr>
        <w:t xml:space="preserve">всіма </w:t>
      </w:r>
      <w:r w:rsidRPr="005576B9">
        <w:rPr>
          <w:rFonts w:ascii="Segoe UI" w:hAnsi="Segoe UI" w:cs="Segoe UI"/>
          <w:sz w:val="28"/>
          <w:szCs w:val="28"/>
        </w:rPr>
        <w:t>роками.</w:t>
      </w:r>
    </w:p>
    <w:p w14:paraId="1ED6E39D" w14:textId="27E6D169" w:rsidR="008B4359" w:rsidRPr="008B4359" w:rsidRDefault="008B4359" w:rsidP="009C0D17">
      <w:pPr>
        <w:ind w:firstLine="720"/>
        <w:jc w:val="center"/>
        <w:rPr>
          <w:rFonts w:ascii="Segoe UI" w:hAnsi="Segoe UI" w:cs="Segoe UI"/>
          <w:b/>
          <w:bCs/>
          <w:sz w:val="28"/>
          <w:szCs w:val="28"/>
        </w:rPr>
      </w:pPr>
      <w:r w:rsidRPr="008B4359">
        <w:rPr>
          <w:rFonts w:ascii="Segoe UI" w:hAnsi="Segoe UI" w:cs="Segoe UI"/>
          <w:b/>
          <w:bCs/>
          <w:sz w:val="28"/>
          <w:szCs w:val="28"/>
        </w:rPr>
        <w:t xml:space="preserve">Частина 5: </w:t>
      </w:r>
      <w:r w:rsidR="009C0D17">
        <w:rPr>
          <w:rFonts w:ascii="Segoe UI" w:hAnsi="Segoe UI" w:cs="Segoe UI"/>
          <w:b/>
          <w:bCs/>
          <w:sz w:val="28"/>
          <w:szCs w:val="28"/>
          <w:lang w:val="uk-UA"/>
        </w:rPr>
        <w:t>Б</w:t>
      </w:r>
      <w:r w:rsidRPr="008B4359">
        <w:rPr>
          <w:rFonts w:ascii="Segoe UI" w:hAnsi="Segoe UI" w:cs="Segoe UI"/>
          <w:b/>
          <w:bCs/>
          <w:sz w:val="28"/>
          <w:szCs w:val="28"/>
        </w:rPr>
        <w:t>ізнес-аналіз та інсайти для стейкхолдерів</w:t>
      </w:r>
    </w:p>
    <w:p w14:paraId="4F5D1DE8" w14:textId="4D1E787D" w:rsidR="00134BC6" w:rsidRDefault="008B4359" w:rsidP="00134BC6">
      <w:pPr>
        <w:ind w:firstLine="720"/>
        <w:rPr>
          <w:rFonts w:ascii="Segoe UI" w:hAnsi="Segoe UI" w:cs="Segoe UI"/>
          <w:sz w:val="28"/>
          <w:szCs w:val="28"/>
          <w:lang w:val="uk-UA"/>
        </w:rPr>
      </w:pPr>
      <w:r w:rsidRPr="008B4359">
        <w:rPr>
          <w:rFonts w:ascii="Segoe UI" w:hAnsi="Segoe UI" w:cs="Segoe UI"/>
          <w:sz w:val="28"/>
          <w:szCs w:val="28"/>
        </w:rPr>
        <w:t>Аналіз верхнього рівня комерційних показників мережі демонструє успішне глобальне масштабування бізнесу за трирічний період із загальним обсягом виторгу на рівні 19.95 мільйонів грошових одиниць та обсягом відвантажень у 4 мільйони штук товару. Детальний розгляд річних трендів дозволяє розділити історію компанії на три фази: етап агресивного старту, етап досягнення історичного піку та етап поточної ринкової стабілізації.</w:t>
      </w:r>
    </w:p>
    <w:p w14:paraId="377FB573" w14:textId="5DB6309A" w:rsidR="00134BC6" w:rsidRPr="00134BC6" w:rsidRDefault="00860B57" w:rsidP="00860B57">
      <w:pPr>
        <w:rPr>
          <w:rFonts w:ascii="Segoe UI" w:hAnsi="Segoe UI" w:cs="Segoe UI"/>
          <w:sz w:val="28"/>
          <w:szCs w:val="28"/>
          <w:lang w:val="uk-UA"/>
        </w:rPr>
      </w:pPr>
      <w:r>
        <w:rPr>
          <w:noProof/>
        </w:rPr>
        <w:lastRenderedPageBreak/>
        <w:drawing>
          <wp:anchor distT="0" distB="0" distL="114300" distR="114300" simplePos="0" relativeHeight="251662336" behindDoc="0" locked="0" layoutInCell="1" allowOverlap="1" wp14:anchorId="31737D41" wp14:editId="1CF66FD4">
            <wp:simplePos x="0" y="0"/>
            <wp:positionH relativeFrom="column">
              <wp:posOffset>0</wp:posOffset>
            </wp:positionH>
            <wp:positionV relativeFrom="paragraph">
              <wp:posOffset>380365</wp:posOffset>
            </wp:positionV>
            <wp:extent cx="5940425" cy="807720"/>
            <wp:effectExtent l="0" t="0" r="3175" b="0"/>
            <wp:wrapTopAndBottom/>
            <wp:docPr id="2096408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08024" name=""/>
                    <pic:cNvPicPr/>
                  </pic:nvPicPr>
                  <pic:blipFill>
                    <a:blip r:embed="rId5"/>
                    <a:stretch>
                      <a:fillRect/>
                    </a:stretch>
                  </pic:blipFill>
                  <pic:spPr>
                    <a:xfrm>
                      <a:off x="0" y="0"/>
                      <a:ext cx="5940425" cy="807720"/>
                    </a:xfrm>
                    <a:prstGeom prst="rect">
                      <a:avLst/>
                    </a:prstGeom>
                  </pic:spPr>
                </pic:pic>
              </a:graphicData>
            </a:graphic>
            <wp14:sizeRelH relativeFrom="margin">
              <wp14:pctWidth>0</wp14:pctWidth>
            </wp14:sizeRelH>
            <wp14:sizeRelV relativeFrom="margin">
              <wp14:pctHeight>0</wp14:pctHeight>
            </wp14:sizeRelV>
          </wp:anchor>
        </w:drawing>
      </w:r>
    </w:p>
    <w:p w14:paraId="53711E58" w14:textId="5018318D" w:rsidR="00860B57" w:rsidRDefault="00860B57" w:rsidP="00860B57">
      <w:pPr>
        <w:ind w:firstLine="720"/>
        <w:jc w:val="center"/>
        <w:rPr>
          <w:rFonts w:ascii="Segoe UI" w:hAnsi="Segoe UI" w:cs="Segoe UI"/>
          <w:sz w:val="28"/>
          <w:szCs w:val="28"/>
          <w:lang w:val="uk-UA"/>
        </w:rPr>
      </w:pPr>
      <w:r>
        <w:rPr>
          <w:rFonts w:ascii="Segoe UI" w:hAnsi="Segoe UI" w:cs="Segoe UI"/>
          <w:sz w:val="28"/>
          <w:szCs w:val="28"/>
          <w:lang w:val="uk-UA"/>
        </w:rPr>
        <w:t>Рисунок 1 – Загальний виторг та обсяг товару</w:t>
      </w:r>
    </w:p>
    <w:p w14:paraId="58DF7157" w14:textId="352CD888" w:rsidR="00134BC6" w:rsidRDefault="008B4359" w:rsidP="00134BC6">
      <w:pPr>
        <w:ind w:firstLine="720"/>
        <w:rPr>
          <w:rFonts w:ascii="Segoe UI" w:hAnsi="Segoe UI" w:cs="Segoe UI"/>
          <w:sz w:val="28"/>
          <w:szCs w:val="28"/>
          <w:lang w:val="uk-UA"/>
        </w:rPr>
      </w:pPr>
      <w:r w:rsidRPr="008B4359">
        <w:rPr>
          <w:rFonts w:ascii="Segoe UI" w:hAnsi="Segoe UI" w:cs="Segoe UI"/>
          <w:sz w:val="28"/>
          <w:szCs w:val="28"/>
        </w:rPr>
        <w:t>Траєкторія 2022 року відображає класичний сценарій розгортання операційної діяльності, коли продажі стартували з мінімальних значень у січні та демонстрували безперервне щомісячне зростання  до кінця календарного року. Наступний 2023 рік став для компанії періодом максимальної комерційної ефективності, протягом якого обсяги щомісячного виторгу стабільно перевищували результати попереднього року, сформувавши міцну фінансову базу.</w:t>
      </w:r>
    </w:p>
    <w:p w14:paraId="6479EDA4" w14:textId="0B60F7E2" w:rsidR="00134BC6" w:rsidRPr="00134BC6" w:rsidRDefault="00134BC6" w:rsidP="00134BC6">
      <w:pPr>
        <w:rPr>
          <w:rFonts w:ascii="Segoe UI" w:hAnsi="Segoe UI" w:cs="Segoe UI"/>
          <w:sz w:val="28"/>
          <w:szCs w:val="28"/>
          <w:lang w:val="uk-UA"/>
        </w:rPr>
      </w:pPr>
      <w:r>
        <w:rPr>
          <w:noProof/>
        </w:rPr>
        <w:drawing>
          <wp:anchor distT="0" distB="0" distL="114300" distR="114300" simplePos="0" relativeHeight="251660288" behindDoc="0" locked="0" layoutInCell="1" allowOverlap="1" wp14:anchorId="221248D5" wp14:editId="3280E1E8">
            <wp:simplePos x="0" y="0"/>
            <wp:positionH relativeFrom="column">
              <wp:posOffset>0</wp:posOffset>
            </wp:positionH>
            <wp:positionV relativeFrom="paragraph">
              <wp:posOffset>380365</wp:posOffset>
            </wp:positionV>
            <wp:extent cx="5940425" cy="3836035"/>
            <wp:effectExtent l="0" t="0" r="3175" b="0"/>
            <wp:wrapTopAndBottom/>
            <wp:docPr id="9469517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51702" name=""/>
                    <pic:cNvPicPr/>
                  </pic:nvPicPr>
                  <pic:blipFill>
                    <a:blip r:embed="rId6"/>
                    <a:stretch>
                      <a:fillRect/>
                    </a:stretch>
                  </pic:blipFill>
                  <pic:spPr>
                    <a:xfrm>
                      <a:off x="0" y="0"/>
                      <a:ext cx="5940425" cy="3836035"/>
                    </a:xfrm>
                    <a:prstGeom prst="rect">
                      <a:avLst/>
                    </a:prstGeom>
                  </pic:spPr>
                </pic:pic>
              </a:graphicData>
            </a:graphic>
          </wp:anchor>
        </w:drawing>
      </w:r>
    </w:p>
    <w:p w14:paraId="5355BFD3" w14:textId="59B17FFF" w:rsidR="00134BC6" w:rsidRPr="00860B57" w:rsidRDefault="00860B57" w:rsidP="00860B57">
      <w:pPr>
        <w:ind w:firstLine="720"/>
        <w:jc w:val="center"/>
        <w:rPr>
          <w:rFonts w:ascii="Segoe UI" w:hAnsi="Segoe UI" w:cs="Segoe UI"/>
          <w:sz w:val="28"/>
          <w:szCs w:val="28"/>
          <w:lang w:val="uk-UA"/>
        </w:rPr>
      </w:pPr>
      <w:r>
        <w:rPr>
          <w:rFonts w:ascii="Segoe UI" w:hAnsi="Segoe UI" w:cs="Segoe UI"/>
          <w:sz w:val="28"/>
          <w:szCs w:val="28"/>
          <w:lang w:val="uk-UA"/>
        </w:rPr>
        <w:t xml:space="preserve">Рисунок 2 – </w:t>
      </w:r>
      <w:r w:rsidR="00DA109F">
        <w:rPr>
          <w:rFonts w:ascii="Segoe UI" w:hAnsi="Segoe UI" w:cs="Segoe UI"/>
          <w:sz w:val="28"/>
          <w:szCs w:val="28"/>
          <w:lang w:val="uk-UA"/>
        </w:rPr>
        <w:t>Т</w:t>
      </w:r>
      <w:r w:rsidR="00DA109F" w:rsidRPr="00DA109F">
        <w:rPr>
          <w:rFonts w:ascii="Segoe UI" w:hAnsi="Segoe UI" w:cs="Segoe UI"/>
          <w:sz w:val="28"/>
          <w:szCs w:val="28"/>
        </w:rPr>
        <w:t>ренд виторгу по місяцях у річному зіставленні</w:t>
      </w:r>
    </w:p>
    <w:p w14:paraId="79BA15A6" w14:textId="2C76598A" w:rsidR="008B4359" w:rsidRPr="008B4359" w:rsidRDefault="008B4359" w:rsidP="008B4359">
      <w:pPr>
        <w:ind w:firstLine="720"/>
        <w:rPr>
          <w:rFonts w:ascii="Segoe UI" w:hAnsi="Segoe UI" w:cs="Segoe UI"/>
          <w:sz w:val="28"/>
          <w:szCs w:val="28"/>
        </w:rPr>
      </w:pPr>
      <w:r w:rsidRPr="008B4359">
        <w:rPr>
          <w:rFonts w:ascii="Segoe UI" w:hAnsi="Segoe UI" w:cs="Segoe UI"/>
          <w:sz w:val="28"/>
          <w:szCs w:val="28"/>
        </w:rPr>
        <w:t xml:space="preserve">Незважаючи на те, що перший квартал 2024 року демонстрував рекордні темпи продажів, які випереджали навіть піковий 2023 рік, починаючи з травня тренд розвернувся у бік помірного просідання. </w:t>
      </w:r>
      <w:r w:rsidR="00CD3999">
        <w:rPr>
          <w:rFonts w:ascii="Segoe UI" w:hAnsi="Segoe UI" w:cs="Segoe UI"/>
          <w:sz w:val="28"/>
          <w:szCs w:val="28"/>
        </w:rPr>
        <w:t>Л</w:t>
      </w:r>
      <w:r w:rsidRPr="008B4359">
        <w:rPr>
          <w:rFonts w:ascii="Segoe UI" w:hAnsi="Segoe UI" w:cs="Segoe UI"/>
          <w:sz w:val="28"/>
          <w:szCs w:val="28"/>
        </w:rPr>
        <w:t xml:space="preserve">інія тренду зафіксувалася нижче показників минулого року, що </w:t>
      </w:r>
      <w:r w:rsidRPr="008B4359">
        <w:rPr>
          <w:rFonts w:ascii="Segoe UI" w:hAnsi="Segoe UI" w:cs="Segoe UI"/>
          <w:sz w:val="28"/>
          <w:szCs w:val="28"/>
        </w:rPr>
        <w:lastRenderedPageBreak/>
        <w:t>сигналізує про необхідність операційного втручання, оптимізації асортименту або перегляду цінової політики для запобігання подальшій стагнації продажів.</w:t>
      </w:r>
    </w:p>
    <w:p w14:paraId="05881337" w14:textId="5AABD388" w:rsidR="00DC7C41" w:rsidRPr="00DC7C41" w:rsidRDefault="00DC7C41" w:rsidP="00DC7C41">
      <w:pPr>
        <w:ind w:firstLine="720"/>
        <w:jc w:val="center"/>
        <w:rPr>
          <w:rFonts w:ascii="Segoe UI" w:hAnsi="Segoe UI" w:cs="Segoe UI"/>
          <w:b/>
          <w:bCs/>
          <w:sz w:val="28"/>
          <w:szCs w:val="28"/>
        </w:rPr>
      </w:pPr>
      <w:r w:rsidRPr="00DC7C41">
        <w:rPr>
          <w:rFonts w:ascii="Segoe UI" w:hAnsi="Segoe UI" w:cs="Segoe UI"/>
          <w:b/>
          <w:bCs/>
          <w:sz w:val="28"/>
          <w:szCs w:val="28"/>
        </w:rPr>
        <w:t>Аналіз чистої швидкості та сезонності на основі графіка MoM</w:t>
      </w:r>
    </w:p>
    <w:p w14:paraId="2735CF58" w14:textId="77777777" w:rsidR="00DC7C41" w:rsidRDefault="00DC7C41" w:rsidP="00DC7C41">
      <w:pPr>
        <w:ind w:firstLine="720"/>
        <w:rPr>
          <w:rFonts w:ascii="Segoe UI" w:hAnsi="Segoe UI" w:cs="Segoe UI"/>
          <w:sz w:val="28"/>
          <w:szCs w:val="28"/>
          <w:lang w:val="uk-UA"/>
        </w:rPr>
      </w:pPr>
      <w:r w:rsidRPr="009C0D17">
        <w:rPr>
          <w:rFonts w:ascii="Segoe UI" w:hAnsi="Segoe UI" w:cs="Segoe UI"/>
          <w:sz w:val="28"/>
          <w:szCs w:val="28"/>
        </w:rPr>
        <w:t>Аналіз чистої швидкості зростання дозволяє відокремити масштаби виторгу від реальної динаміки попиту</w:t>
      </w:r>
      <w:r>
        <w:rPr>
          <w:rFonts w:ascii="Segoe UI" w:hAnsi="Segoe UI" w:cs="Segoe UI"/>
          <w:sz w:val="28"/>
          <w:szCs w:val="28"/>
        </w:rPr>
        <w:t xml:space="preserve">. </w:t>
      </w:r>
      <w:r w:rsidRPr="009C0D17">
        <w:rPr>
          <w:rFonts w:ascii="Segoe UI" w:hAnsi="Segoe UI" w:cs="Segoe UI"/>
          <w:sz w:val="28"/>
          <w:szCs w:val="28"/>
        </w:rPr>
        <w:t>Розраховані за допомогою віконних функцій SQL показники підтверджують наявність стійких сезонних циклів, які повторюються з року в рік</w:t>
      </w:r>
      <w:r>
        <w:rPr>
          <w:rFonts w:ascii="Segoe UI" w:hAnsi="Segoe UI" w:cs="Segoe UI"/>
          <w:sz w:val="28"/>
          <w:szCs w:val="28"/>
        </w:rPr>
        <w:t>.</w:t>
      </w:r>
    </w:p>
    <w:p w14:paraId="7F6AB8AC" w14:textId="0C628C83" w:rsidR="00860B57" w:rsidRPr="00860B57" w:rsidRDefault="00860B57" w:rsidP="00DC7C41">
      <w:pPr>
        <w:ind w:firstLine="720"/>
        <w:rPr>
          <w:rFonts w:ascii="Segoe UI" w:hAnsi="Segoe UI" w:cs="Segoe UI"/>
          <w:sz w:val="28"/>
          <w:szCs w:val="28"/>
          <w:lang w:val="uk-UA"/>
        </w:rPr>
      </w:pPr>
      <w:r>
        <w:rPr>
          <w:noProof/>
        </w:rPr>
        <w:drawing>
          <wp:anchor distT="0" distB="0" distL="114300" distR="114300" simplePos="0" relativeHeight="251664384" behindDoc="0" locked="0" layoutInCell="1" allowOverlap="1" wp14:anchorId="3BB52B39" wp14:editId="3047F4F0">
            <wp:simplePos x="0" y="0"/>
            <wp:positionH relativeFrom="column">
              <wp:posOffset>0</wp:posOffset>
            </wp:positionH>
            <wp:positionV relativeFrom="paragraph">
              <wp:posOffset>373380</wp:posOffset>
            </wp:positionV>
            <wp:extent cx="5940425" cy="3980180"/>
            <wp:effectExtent l="0" t="0" r="3175" b="1270"/>
            <wp:wrapTopAndBottom/>
            <wp:docPr id="18225643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64373" name=""/>
                    <pic:cNvPicPr/>
                  </pic:nvPicPr>
                  <pic:blipFill>
                    <a:blip r:embed="rId7"/>
                    <a:stretch>
                      <a:fillRect/>
                    </a:stretch>
                  </pic:blipFill>
                  <pic:spPr>
                    <a:xfrm>
                      <a:off x="0" y="0"/>
                      <a:ext cx="5940425" cy="3980180"/>
                    </a:xfrm>
                    <a:prstGeom prst="rect">
                      <a:avLst/>
                    </a:prstGeom>
                  </pic:spPr>
                </pic:pic>
              </a:graphicData>
            </a:graphic>
          </wp:anchor>
        </w:drawing>
      </w:r>
    </w:p>
    <w:p w14:paraId="1585DEE1" w14:textId="77777777" w:rsidR="00DA109F" w:rsidRDefault="00860B57" w:rsidP="00DA109F">
      <w:pPr>
        <w:ind w:firstLine="720"/>
        <w:jc w:val="center"/>
        <w:rPr>
          <w:rFonts w:ascii="Segoe UI" w:hAnsi="Segoe UI" w:cs="Segoe UI"/>
          <w:sz w:val="28"/>
          <w:szCs w:val="28"/>
          <w:lang w:val="uk-UA"/>
        </w:rPr>
      </w:pPr>
      <w:r>
        <w:rPr>
          <w:rFonts w:ascii="Segoe UI" w:hAnsi="Segoe UI" w:cs="Segoe UI"/>
          <w:sz w:val="28"/>
          <w:szCs w:val="28"/>
          <w:lang w:val="uk-UA"/>
        </w:rPr>
        <w:t xml:space="preserve">Рисунок 3 – </w:t>
      </w:r>
      <w:r w:rsidR="00DA109F" w:rsidRPr="00DA109F">
        <w:rPr>
          <w:rFonts w:ascii="Segoe UI" w:hAnsi="Segoe UI" w:cs="Segoe UI"/>
          <w:sz w:val="28"/>
          <w:szCs w:val="28"/>
        </w:rPr>
        <w:t>Темп приросту виторгу відносно попереднього місяця</w:t>
      </w:r>
    </w:p>
    <w:p w14:paraId="0114AA63" w14:textId="63BAEF94" w:rsidR="009C0D17" w:rsidRPr="004D2683" w:rsidRDefault="009C0D17" w:rsidP="009C0D17">
      <w:pPr>
        <w:ind w:firstLine="720"/>
        <w:rPr>
          <w:rFonts w:ascii="Segoe UI" w:hAnsi="Segoe UI" w:cs="Segoe UI"/>
          <w:sz w:val="28"/>
          <w:szCs w:val="28"/>
          <w:lang w:val="ru-RU"/>
        </w:rPr>
      </w:pPr>
      <w:r w:rsidRPr="009C0D17">
        <w:rPr>
          <w:rFonts w:ascii="Segoe UI" w:hAnsi="Segoe UI" w:cs="Segoe UI"/>
          <w:sz w:val="28"/>
          <w:szCs w:val="28"/>
        </w:rPr>
        <w:t xml:space="preserve">Головним аномальним показником усього досліджуваного періоду є березень 2022 року, коли темп приросту сягнув рекордних </w:t>
      </w:r>
      <w:r w:rsidRPr="00DA109F">
        <w:rPr>
          <w:rFonts w:ascii="Segoe UI" w:hAnsi="Segoe UI" w:cs="Segoe UI"/>
          <w:sz w:val="28"/>
          <w:szCs w:val="28"/>
        </w:rPr>
        <w:t>+197,76%.</w:t>
      </w:r>
      <w:r w:rsidRPr="009C0D17">
        <w:rPr>
          <w:rFonts w:ascii="Segoe UI" w:hAnsi="Segoe UI" w:cs="Segoe UI"/>
          <w:sz w:val="28"/>
          <w:szCs w:val="28"/>
        </w:rPr>
        <w:t xml:space="preserve"> Такий стрибок пояснюється ефектом низької бази: оскільки компанія перебувала на етапі запуску, перші замовлення після мінімального старту спричинили вибуховий ріст. Прот</w:t>
      </w:r>
      <w:r>
        <w:rPr>
          <w:rFonts w:ascii="Segoe UI" w:hAnsi="Segoe UI" w:cs="Segoe UI"/>
          <w:sz w:val="28"/>
          <w:szCs w:val="28"/>
        </w:rPr>
        <w:t xml:space="preserve">е, </w:t>
      </w:r>
      <w:r w:rsidRPr="009C0D17">
        <w:rPr>
          <w:rFonts w:ascii="Segoe UI" w:hAnsi="Segoe UI" w:cs="Segoe UI"/>
          <w:sz w:val="28"/>
          <w:szCs w:val="28"/>
        </w:rPr>
        <w:t>березень залишається найпродуктивнішим місяцем і в наступні роки</w:t>
      </w:r>
      <w:r>
        <w:rPr>
          <w:rFonts w:ascii="Segoe UI" w:hAnsi="Segoe UI" w:cs="Segoe UI"/>
          <w:sz w:val="28"/>
          <w:szCs w:val="28"/>
        </w:rPr>
        <w:t>, що</w:t>
      </w:r>
      <w:r w:rsidRPr="009C0D17">
        <w:rPr>
          <w:rFonts w:ascii="Segoe UI" w:hAnsi="Segoe UI" w:cs="Segoe UI"/>
          <w:sz w:val="28"/>
          <w:szCs w:val="28"/>
        </w:rPr>
        <w:t xml:space="preserve"> свідчить про стабільний весняний пік попиту</w:t>
      </w:r>
      <w:r>
        <w:rPr>
          <w:rFonts w:ascii="Segoe UI" w:hAnsi="Segoe UI" w:cs="Segoe UI"/>
          <w:sz w:val="28"/>
          <w:szCs w:val="28"/>
        </w:rPr>
        <w:t>.</w:t>
      </w:r>
    </w:p>
    <w:p w14:paraId="10D956D5" w14:textId="775442E7" w:rsidR="009C0D17" w:rsidRPr="009C0D17" w:rsidRDefault="009C0D17" w:rsidP="009C0D17">
      <w:pPr>
        <w:ind w:firstLine="720"/>
        <w:rPr>
          <w:rFonts w:ascii="Segoe UI" w:hAnsi="Segoe UI" w:cs="Segoe UI"/>
          <w:sz w:val="28"/>
          <w:szCs w:val="28"/>
        </w:rPr>
      </w:pPr>
      <w:r w:rsidRPr="009C0D17">
        <w:rPr>
          <w:rFonts w:ascii="Segoe UI" w:hAnsi="Segoe UI" w:cs="Segoe UI"/>
          <w:sz w:val="28"/>
          <w:szCs w:val="28"/>
        </w:rPr>
        <w:lastRenderedPageBreak/>
        <w:t>Друга половина року демонструє охолодження</w:t>
      </w:r>
      <w:r>
        <w:rPr>
          <w:rFonts w:ascii="Segoe UI" w:hAnsi="Segoe UI" w:cs="Segoe UI"/>
          <w:sz w:val="28"/>
          <w:szCs w:val="28"/>
        </w:rPr>
        <w:t xml:space="preserve"> </w:t>
      </w:r>
      <w:r w:rsidRPr="009C0D17">
        <w:rPr>
          <w:rFonts w:ascii="Segoe UI" w:hAnsi="Segoe UI" w:cs="Segoe UI"/>
          <w:sz w:val="28"/>
          <w:szCs w:val="28"/>
        </w:rPr>
        <w:t>активності. Починаючи з вересня, графік входить у зону від'ємних або мінімальних значень. Цей осінній занепад є системним для даної бізнес-моделі та відображає циклічну паузу у споживанні після завершення літнього сезону.</w:t>
      </w:r>
    </w:p>
    <w:p w14:paraId="7CE4EC10" w14:textId="7F0BFDE9" w:rsidR="009C0D17" w:rsidRPr="009C0D17" w:rsidRDefault="009C0D17" w:rsidP="009C0D17">
      <w:pPr>
        <w:ind w:firstLine="720"/>
        <w:rPr>
          <w:rFonts w:ascii="Segoe UI" w:hAnsi="Segoe UI" w:cs="Segoe UI"/>
          <w:sz w:val="28"/>
          <w:szCs w:val="28"/>
        </w:rPr>
      </w:pPr>
      <w:r w:rsidRPr="009C0D17">
        <w:rPr>
          <w:rFonts w:ascii="Segoe UI" w:hAnsi="Segoe UI" w:cs="Segoe UI"/>
          <w:sz w:val="28"/>
          <w:szCs w:val="28"/>
        </w:rPr>
        <w:t xml:space="preserve">Завершальним етапом річного циклу є </w:t>
      </w:r>
      <w:r>
        <w:rPr>
          <w:rFonts w:ascii="Segoe UI" w:hAnsi="Segoe UI" w:cs="Segoe UI"/>
          <w:sz w:val="28"/>
          <w:szCs w:val="28"/>
        </w:rPr>
        <w:t>відновлення в грудні</w:t>
      </w:r>
      <w:r w:rsidRPr="009C0D17">
        <w:rPr>
          <w:rFonts w:ascii="Segoe UI" w:hAnsi="Segoe UI" w:cs="Segoe UI"/>
          <w:sz w:val="28"/>
          <w:szCs w:val="28"/>
        </w:rPr>
        <w:t>. Хоча приріст у грудні не є таким масштабним, він стабільно перериває осінню стагнацію. Невеликий, але впевнений підйом показників</w:t>
      </w:r>
      <w:r>
        <w:rPr>
          <w:rFonts w:ascii="Segoe UI" w:hAnsi="Segoe UI" w:cs="Segoe UI"/>
          <w:sz w:val="28"/>
          <w:szCs w:val="28"/>
        </w:rPr>
        <w:t xml:space="preserve"> є</w:t>
      </w:r>
      <w:r w:rsidRPr="009C0D17">
        <w:rPr>
          <w:rFonts w:ascii="Segoe UI" w:hAnsi="Segoe UI" w:cs="Segoe UI"/>
          <w:sz w:val="28"/>
          <w:szCs w:val="28"/>
        </w:rPr>
        <w:t xml:space="preserve"> наслідком передноворічних маркетингових активностей та святкового попиту. </w:t>
      </w:r>
    </w:p>
    <w:p w14:paraId="5F6D87BA" w14:textId="3EDF741B" w:rsidR="00DC7C41" w:rsidRDefault="00DC7C41" w:rsidP="00BA41A1">
      <w:pPr>
        <w:ind w:firstLine="720"/>
        <w:jc w:val="center"/>
        <w:rPr>
          <w:rFonts w:ascii="Segoe UI" w:hAnsi="Segoe UI" w:cs="Segoe UI"/>
          <w:sz w:val="28"/>
          <w:szCs w:val="28"/>
          <w:lang w:val="uk-UA"/>
        </w:rPr>
      </w:pPr>
      <w:r w:rsidRPr="00DC7C41">
        <w:rPr>
          <w:rFonts w:ascii="Segoe UI" w:hAnsi="Segoe UI" w:cs="Segoe UI"/>
          <w:b/>
          <w:bCs/>
          <w:sz w:val="28"/>
          <w:szCs w:val="28"/>
        </w:rPr>
        <w:t xml:space="preserve">Структура портфеля та </w:t>
      </w:r>
      <w:r w:rsidR="00BA41A1">
        <w:rPr>
          <w:rFonts w:ascii="Segoe UI" w:hAnsi="Segoe UI" w:cs="Segoe UI"/>
          <w:b/>
          <w:bCs/>
          <w:sz w:val="28"/>
          <w:szCs w:val="28"/>
          <w:lang w:val="uk-UA"/>
        </w:rPr>
        <w:t>к</w:t>
      </w:r>
      <w:r w:rsidRPr="00DC7C41">
        <w:rPr>
          <w:rFonts w:ascii="Segoe UI" w:hAnsi="Segoe UI" w:cs="Segoe UI"/>
          <w:b/>
          <w:bCs/>
          <w:sz w:val="28"/>
          <w:szCs w:val="28"/>
        </w:rPr>
        <w:t>анали продажів</w:t>
      </w:r>
    </w:p>
    <w:p w14:paraId="6950B1FE" w14:textId="14730F86" w:rsidR="00BA41A1" w:rsidRDefault="00BA41A1" w:rsidP="00BA41A1">
      <w:pPr>
        <w:ind w:firstLine="720"/>
        <w:rPr>
          <w:rFonts w:ascii="Segoe UI" w:hAnsi="Segoe UI" w:cs="Segoe UI"/>
          <w:sz w:val="28"/>
          <w:szCs w:val="28"/>
        </w:rPr>
      </w:pPr>
      <w:r w:rsidRPr="00BA41A1">
        <w:rPr>
          <w:rFonts w:ascii="Segoe UI" w:hAnsi="Segoe UI" w:cs="Segoe UI"/>
          <w:sz w:val="28"/>
          <w:szCs w:val="28"/>
        </w:rPr>
        <w:t>Абсолютним лідером за досліджуваний трирічний період став</w:t>
      </w:r>
      <w:r>
        <w:rPr>
          <w:rFonts w:ascii="Segoe UI" w:hAnsi="Segoe UI" w:cs="Segoe UI"/>
          <w:sz w:val="28"/>
          <w:szCs w:val="28"/>
        </w:rPr>
        <w:t xml:space="preserve"> </w:t>
      </w:r>
      <w:r w:rsidRPr="00BA41A1">
        <w:rPr>
          <w:rFonts w:ascii="Segoe UI" w:hAnsi="Segoe UI" w:cs="Segoe UI"/>
          <w:sz w:val="28"/>
          <w:szCs w:val="28"/>
        </w:rPr>
        <w:t xml:space="preserve">SnBrand2. </w:t>
      </w:r>
      <w:r>
        <w:rPr>
          <w:rFonts w:ascii="Segoe UI" w:hAnsi="Segoe UI" w:cs="Segoe UI"/>
          <w:sz w:val="28"/>
          <w:szCs w:val="28"/>
        </w:rPr>
        <w:t>Д</w:t>
      </w:r>
      <w:r w:rsidRPr="00BA41A1">
        <w:rPr>
          <w:rFonts w:ascii="Segoe UI" w:hAnsi="Segoe UI" w:cs="Segoe UI"/>
          <w:sz w:val="28"/>
          <w:szCs w:val="28"/>
        </w:rPr>
        <w:t>инамічний аналіз за допомогою часових зрізів виявив</w:t>
      </w:r>
      <w:r>
        <w:rPr>
          <w:rFonts w:ascii="Segoe UI" w:hAnsi="Segoe UI" w:cs="Segoe UI"/>
          <w:sz w:val="28"/>
          <w:szCs w:val="28"/>
        </w:rPr>
        <w:t xml:space="preserve">, що </w:t>
      </w:r>
      <w:r w:rsidRPr="00BA41A1">
        <w:rPr>
          <w:rFonts w:ascii="Segoe UI" w:hAnsi="Segoe UI" w:cs="Segoe UI"/>
          <w:sz w:val="28"/>
          <w:szCs w:val="28"/>
        </w:rPr>
        <w:t>у стартовому 2022 році цей бренд перебував серед аутсайдерів на передостанній позиції портфеля. Такий стрімкий зліт у 2023–2024 роках вказує на успішний перезапуск маркетингової стратегії або якісну зміну дистрибуції цього напрямку</w:t>
      </w:r>
      <w:r>
        <w:rPr>
          <w:rFonts w:ascii="Segoe UI" w:hAnsi="Segoe UI" w:cs="Segoe UI"/>
          <w:sz w:val="28"/>
          <w:szCs w:val="28"/>
        </w:rPr>
        <w:t>.</w:t>
      </w:r>
    </w:p>
    <w:p w14:paraId="7669BDD2" w14:textId="14E8A010" w:rsidR="003941B4" w:rsidRPr="00BA41A1" w:rsidRDefault="003941B4" w:rsidP="00BA41A1">
      <w:pPr>
        <w:ind w:firstLine="720"/>
        <w:rPr>
          <w:rFonts w:ascii="Segoe UI" w:hAnsi="Segoe UI" w:cs="Segoe UI"/>
          <w:sz w:val="28"/>
          <w:szCs w:val="28"/>
        </w:rPr>
      </w:pPr>
      <w:r>
        <w:rPr>
          <w:noProof/>
        </w:rPr>
        <w:drawing>
          <wp:anchor distT="0" distB="0" distL="114300" distR="114300" simplePos="0" relativeHeight="251666432" behindDoc="0" locked="0" layoutInCell="1" allowOverlap="1" wp14:anchorId="3B513637" wp14:editId="297DBDB7">
            <wp:simplePos x="0" y="0"/>
            <wp:positionH relativeFrom="column">
              <wp:posOffset>1905</wp:posOffset>
            </wp:positionH>
            <wp:positionV relativeFrom="paragraph">
              <wp:posOffset>334645</wp:posOffset>
            </wp:positionV>
            <wp:extent cx="5524500" cy="3571240"/>
            <wp:effectExtent l="0" t="0" r="0" b="0"/>
            <wp:wrapTopAndBottom/>
            <wp:docPr id="12303810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81090" name=""/>
                    <pic:cNvPicPr/>
                  </pic:nvPicPr>
                  <pic:blipFill>
                    <a:blip r:embed="rId8"/>
                    <a:stretch>
                      <a:fillRect/>
                    </a:stretch>
                  </pic:blipFill>
                  <pic:spPr>
                    <a:xfrm>
                      <a:off x="0" y="0"/>
                      <a:ext cx="5524500" cy="3571240"/>
                    </a:xfrm>
                    <a:prstGeom prst="rect">
                      <a:avLst/>
                    </a:prstGeom>
                  </pic:spPr>
                </pic:pic>
              </a:graphicData>
            </a:graphic>
            <wp14:sizeRelH relativeFrom="margin">
              <wp14:pctWidth>0</wp14:pctWidth>
            </wp14:sizeRelH>
            <wp14:sizeRelV relativeFrom="margin">
              <wp14:pctHeight>0</wp14:pctHeight>
            </wp14:sizeRelV>
          </wp:anchor>
        </w:drawing>
      </w:r>
    </w:p>
    <w:p w14:paraId="1C9FF987" w14:textId="3362E7CB" w:rsidR="003941B4" w:rsidRPr="003941B4" w:rsidRDefault="003941B4" w:rsidP="003941B4">
      <w:pPr>
        <w:jc w:val="center"/>
        <w:rPr>
          <w:rFonts w:ascii="Segoe UI" w:hAnsi="Segoe UI" w:cs="Segoe UI"/>
          <w:sz w:val="28"/>
          <w:szCs w:val="28"/>
          <w:lang w:val="uk-UA"/>
        </w:rPr>
      </w:pPr>
      <w:r>
        <w:rPr>
          <w:rFonts w:ascii="Segoe UI" w:hAnsi="Segoe UI" w:cs="Segoe UI"/>
          <w:sz w:val="28"/>
          <w:szCs w:val="28"/>
          <w:lang w:val="uk-UA"/>
        </w:rPr>
        <w:t xml:space="preserve">Рисунок 4 - </w:t>
      </w:r>
      <w:r w:rsidRPr="003941B4">
        <w:rPr>
          <w:rFonts w:ascii="Segoe UI" w:hAnsi="Segoe UI" w:cs="Segoe UI"/>
          <w:sz w:val="28"/>
          <w:szCs w:val="28"/>
        </w:rPr>
        <w:t>Аналіз структури продажів за брендами</w:t>
      </w:r>
    </w:p>
    <w:p w14:paraId="57C95994" w14:textId="13FE44BE" w:rsidR="00BA41A1" w:rsidRPr="000E4009" w:rsidRDefault="002E12DF" w:rsidP="00BA41A1">
      <w:pPr>
        <w:ind w:firstLine="720"/>
        <w:rPr>
          <w:rFonts w:ascii="Segoe UI" w:hAnsi="Segoe UI" w:cs="Segoe UI"/>
          <w:sz w:val="28"/>
          <w:szCs w:val="28"/>
        </w:rPr>
      </w:pPr>
      <w:r>
        <w:rPr>
          <w:rFonts w:ascii="Segoe UI" w:hAnsi="Segoe UI" w:cs="Segoe UI"/>
          <w:sz w:val="28"/>
          <w:szCs w:val="28"/>
        </w:rPr>
        <w:lastRenderedPageBreak/>
        <w:t>Найстабільнишим є б</w:t>
      </w:r>
      <w:r w:rsidR="00BA41A1" w:rsidRPr="00BA41A1">
        <w:rPr>
          <w:rFonts w:ascii="Segoe UI" w:hAnsi="Segoe UI" w:cs="Segoe UI"/>
          <w:sz w:val="28"/>
          <w:szCs w:val="28"/>
        </w:rPr>
        <w:t>ренд YoBrand4</w:t>
      </w:r>
      <w:r>
        <w:rPr>
          <w:rFonts w:ascii="Segoe UI" w:hAnsi="Segoe UI" w:cs="Segoe UI"/>
          <w:sz w:val="28"/>
          <w:szCs w:val="28"/>
        </w:rPr>
        <w:t xml:space="preserve">. Знаходився у трійці найкращих продажів протягом усього трирічного циклу, а </w:t>
      </w:r>
      <w:r w:rsidR="00BA41A1" w:rsidRPr="00BA41A1">
        <w:rPr>
          <w:rFonts w:ascii="Segoe UI" w:hAnsi="Segoe UI" w:cs="Segoe UI"/>
          <w:sz w:val="28"/>
          <w:szCs w:val="28"/>
        </w:rPr>
        <w:t>на етапі запуску бізнесу саме він виступав ключовим опорним продуктом. Концентрація брендів із префіксом Yo у верхній частині рейтингу свідчить про високу лояльність споживачів до цієї товарної групи</w:t>
      </w:r>
      <w:r>
        <w:rPr>
          <w:rFonts w:ascii="Segoe UI" w:hAnsi="Segoe UI" w:cs="Segoe UI"/>
          <w:sz w:val="28"/>
          <w:szCs w:val="28"/>
        </w:rPr>
        <w:t xml:space="preserve">. </w:t>
      </w:r>
      <w:r w:rsidR="00BA41A1" w:rsidRPr="00BA41A1">
        <w:rPr>
          <w:rFonts w:ascii="Segoe UI" w:hAnsi="Segoe UI" w:cs="Segoe UI"/>
          <w:sz w:val="28"/>
          <w:szCs w:val="28"/>
        </w:rPr>
        <w:t>У той же час, бренди нижньої ліги (наприклад, MiBrand2 та SnBrand3) стабільно генерують мінімальний дохід, що сигналізує про необхідність проведення асортиментного аудиту та можливого виведення цих позицій</w:t>
      </w:r>
      <w:r w:rsidR="006446E7">
        <w:rPr>
          <w:rFonts w:ascii="Segoe UI" w:hAnsi="Segoe UI" w:cs="Segoe UI"/>
          <w:sz w:val="28"/>
          <w:szCs w:val="28"/>
        </w:rPr>
        <w:t>.</w:t>
      </w:r>
    </w:p>
    <w:p w14:paraId="627E69B7" w14:textId="34CA2E44" w:rsidR="00BA41A1" w:rsidRPr="00BA41A1" w:rsidRDefault="00BA41A1" w:rsidP="00BA41A1">
      <w:pPr>
        <w:ind w:firstLine="720"/>
        <w:rPr>
          <w:rFonts w:ascii="Segoe UI" w:hAnsi="Segoe UI" w:cs="Segoe UI"/>
          <w:sz w:val="28"/>
          <w:szCs w:val="28"/>
        </w:rPr>
      </w:pPr>
      <w:r w:rsidRPr="00BA41A1">
        <w:rPr>
          <w:rFonts w:ascii="Segoe UI" w:hAnsi="Segoe UI" w:cs="Segoe UI"/>
          <w:sz w:val="28"/>
          <w:szCs w:val="28"/>
        </w:rPr>
        <w:t xml:space="preserve">Паралельно з цим, аналіз операційного контуру виявляє унікальну для ритейлу закономірність </w:t>
      </w:r>
      <w:r w:rsidR="00327450">
        <w:rPr>
          <w:rFonts w:ascii="Segoe UI" w:hAnsi="Segoe UI" w:cs="Segoe UI"/>
          <w:sz w:val="28"/>
          <w:szCs w:val="28"/>
          <w:lang w:val="ru-RU"/>
        </w:rPr>
        <w:t>-</w:t>
      </w:r>
      <w:r w:rsidRPr="00BA41A1">
        <w:rPr>
          <w:rFonts w:ascii="Segoe UI" w:hAnsi="Segoe UI" w:cs="Segoe UI"/>
          <w:sz w:val="28"/>
          <w:szCs w:val="28"/>
        </w:rPr>
        <w:t xml:space="preserve"> абсолютну рівність між усіма трьома каналами збуту. Протягом 2022</w:t>
      </w:r>
      <w:r w:rsidR="00327450">
        <w:rPr>
          <w:rFonts w:ascii="Segoe UI" w:hAnsi="Segoe UI" w:cs="Segoe UI"/>
          <w:sz w:val="28"/>
          <w:szCs w:val="28"/>
          <w:lang w:val="ru-RU"/>
        </w:rPr>
        <w:t>-</w:t>
      </w:r>
      <w:r w:rsidRPr="00BA41A1">
        <w:rPr>
          <w:rFonts w:ascii="Segoe UI" w:hAnsi="Segoe UI" w:cs="Segoe UI"/>
          <w:sz w:val="28"/>
          <w:szCs w:val="28"/>
        </w:rPr>
        <w:t xml:space="preserve">2024 років частки традиційного роздрібу, електронної комерції та спеціалізованих дисконтних програм залишаються незмінними і стабільно </w:t>
      </w:r>
      <w:r w:rsidR="00327450">
        <w:rPr>
          <w:rFonts w:ascii="Segoe UI" w:hAnsi="Segoe UI" w:cs="Segoe UI"/>
          <w:sz w:val="28"/>
          <w:szCs w:val="28"/>
          <w:lang w:val="uk-UA"/>
        </w:rPr>
        <w:t>займають</w:t>
      </w:r>
      <w:r w:rsidRPr="00BA41A1">
        <w:rPr>
          <w:rFonts w:ascii="Segoe UI" w:hAnsi="Segoe UI" w:cs="Segoe UI"/>
          <w:sz w:val="28"/>
          <w:szCs w:val="28"/>
        </w:rPr>
        <w:t xml:space="preserve"> по 33.3% від загального обсягу виторгу</w:t>
      </w:r>
      <w:r w:rsidR="000E4009">
        <w:rPr>
          <w:rFonts w:ascii="Segoe UI" w:hAnsi="Segoe UI" w:cs="Segoe UI"/>
          <w:sz w:val="28"/>
          <w:szCs w:val="28"/>
          <w:lang w:val="ru-RU"/>
        </w:rPr>
        <w:t xml:space="preserve">. </w:t>
      </w:r>
      <w:r w:rsidRPr="00BA41A1">
        <w:rPr>
          <w:rFonts w:ascii="Segoe UI" w:hAnsi="Segoe UI" w:cs="Segoe UI"/>
          <w:sz w:val="28"/>
          <w:szCs w:val="28"/>
        </w:rPr>
        <w:t xml:space="preserve">Така збалансованість є ознакою стійкості бізнес-моделі: компанія однаково ефективно оперує на кожному майданчику, повністю нівелюючи ризик фінансового просідання у разі системної кризи в одному конкретному каналі. </w:t>
      </w:r>
    </w:p>
    <w:p w14:paraId="0ABC5724" w14:textId="257AEB6C" w:rsidR="00DC7C41" w:rsidRDefault="003941B4" w:rsidP="003941B4">
      <w:pPr>
        <w:rPr>
          <w:noProof/>
          <w:lang w:val="uk-UA"/>
        </w:rPr>
      </w:pPr>
      <w:r>
        <w:rPr>
          <w:noProof/>
        </w:rPr>
        <w:drawing>
          <wp:anchor distT="0" distB="0" distL="114300" distR="114300" simplePos="0" relativeHeight="251668480" behindDoc="0" locked="0" layoutInCell="1" allowOverlap="1" wp14:anchorId="77A64F58" wp14:editId="2926E98C">
            <wp:simplePos x="0" y="0"/>
            <wp:positionH relativeFrom="column">
              <wp:posOffset>1905</wp:posOffset>
            </wp:positionH>
            <wp:positionV relativeFrom="paragraph">
              <wp:posOffset>318135</wp:posOffset>
            </wp:positionV>
            <wp:extent cx="5897880" cy="3545205"/>
            <wp:effectExtent l="0" t="0" r="7620" b="0"/>
            <wp:wrapTopAndBottom/>
            <wp:docPr id="6275213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21348" name=""/>
                    <pic:cNvPicPr/>
                  </pic:nvPicPr>
                  <pic:blipFill>
                    <a:blip r:embed="rId9"/>
                    <a:stretch>
                      <a:fillRect/>
                    </a:stretch>
                  </pic:blipFill>
                  <pic:spPr>
                    <a:xfrm>
                      <a:off x="0" y="0"/>
                      <a:ext cx="5897880" cy="3545205"/>
                    </a:xfrm>
                    <a:prstGeom prst="rect">
                      <a:avLst/>
                    </a:prstGeom>
                  </pic:spPr>
                </pic:pic>
              </a:graphicData>
            </a:graphic>
            <wp14:sizeRelH relativeFrom="margin">
              <wp14:pctWidth>0</wp14:pctWidth>
            </wp14:sizeRelH>
            <wp14:sizeRelV relativeFrom="margin">
              <wp14:pctHeight>0</wp14:pctHeight>
            </wp14:sizeRelV>
          </wp:anchor>
        </w:drawing>
      </w:r>
    </w:p>
    <w:p w14:paraId="3596A3DD" w14:textId="664FB0ED" w:rsidR="003941B4" w:rsidRPr="004028B2" w:rsidRDefault="003941B4" w:rsidP="004028B2">
      <w:pPr>
        <w:jc w:val="center"/>
        <w:rPr>
          <w:rFonts w:ascii="Segoe UI" w:hAnsi="Segoe UI" w:cs="Segoe UI"/>
          <w:noProof/>
          <w:sz w:val="28"/>
          <w:szCs w:val="28"/>
          <w:lang w:val="uk-UA"/>
        </w:rPr>
      </w:pPr>
      <w:r w:rsidRPr="003941B4">
        <w:rPr>
          <w:rFonts w:ascii="Segoe UI" w:hAnsi="Segoe UI" w:cs="Segoe UI"/>
          <w:noProof/>
          <w:sz w:val="28"/>
          <w:szCs w:val="28"/>
          <w:lang w:val="uk-UA"/>
        </w:rPr>
        <w:t xml:space="preserve">Рисунок 5 - </w:t>
      </w:r>
      <w:r w:rsidRPr="003941B4">
        <w:rPr>
          <w:rFonts w:ascii="Segoe UI" w:hAnsi="Segoe UI" w:cs="Segoe UI"/>
          <w:noProof/>
          <w:sz w:val="28"/>
          <w:szCs w:val="28"/>
        </w:rPr>
        <w:t>Структура виторгу за операційними каналами збуту</w:t>
      </w:r>
    </w:p>
    <w:p w14:paraId="6465DE79" w14:textId="77777777" w:rsidR="003941B4" w:rsidRPr="003941B4" w:rsidRDefault="003941B4" w:rsidP="003941B4">
      <w:pPr>
        <w:jc w:val="center"/>
        <w:rPr>
          <w:rFonts w:ascii="Segoe UI" w:hAnsi="Segoe UI" w:cs="Segoe UI"/>
          <w:b/>
          <w:bCs/>
          <w:sz w:val="28"/>
          <w:szCs w:val="28"/>
        </w:rPr>
      </w:pPr>
      <w:r w:rsidRPr="003941B4">
        <w:rPr>
          <w:rFonts w:ascii="Segoe UI" w:hAnsi="Segoe UI" w:cs="Segoe UI"/>
          <w:b/>
          <w:bCs/>
          <w:sz w:val="28"/>
          <w:szCs w:val="28"/>
        </w:rPr>
        <w:lastRenderedPageBreak/>
        <w:t>Оцінка маркетингової ефективності та промо-залежності</w:t>
      </w:r>
    </w:p>
    <w:p w14:paraId="3314B74D" w14:textId="77777777" w:rsidR="003941B4" w:rsidRDefault="003941B4" w:rsidP="003941B4">
      <w:pPr>
        <w:ind w:firstLine="720"/>
        <w:rPr>
          <w:rFonts w:ascii="Segoe UI" w:hAnsi="Segoe UI" w:cs="Segoe UI"/>
          <w:sz w:val="28"/>
          <w:szCs w:val="28"/>
        </w:rPr>
      </w:pPr>
      <w:r w:rsidRPr="003941B4">
        <w:rPr>
          <w:rFonts w:ascii="Segoe UI" w:hAnsi="Segoe UI" w:cs="Segoe UI"/>
          <w:sz w:val="28"/>
          <w:szCs w:val="28"/>
        </w:rPr>
        <w:t>Завершальним етапом дослідження структури доходів став аудит маркетингової стратегії мережі на основі розподілу виторгу між регулярними та акційними продажами. Аналіз показав, що базові продажі за регулярною ціною формують абсолютну більшість доходів компанії, забезпечуючи 74.43% від загального фінансового потоку (14.85 мільйона грошових одиниць). Натомість на транзакції із залученням маркетингових активностей та дисконтних програм припадає 25.57% виторгу (5.1 мільйона).</w:t>
      </w:r>
    </w:p>
    <w:p w14:paraId="54FACFE7" w14:textId="359458A2" w:rsidR="003941B4" w:rsidRPr="003941B4" w:rsidRDefault="003941B4" w:rsidP="003941B4">
      <w:pPr>
        <w:ind w:firstLine="720"/>
        <w:rPr>
          <w:rFonts w:ascii="Segoe UI" w:hAnsi="Segoe UI" w:cs="Segoe UI"/>
          <w:sz w:val="28"/>
          <w:szCs w:val="28"/>
        </w:rPr>
      </w:pPr>
      <w:r>
        <w:rPr>
          <w:noProof/>
        </w:rPr>
        <w:drawing>
          <wp:anchor distT="0" distB="0" distL="114300" distR="114300" simplePos="0" relativeHeight="251670528" behindDoc="0" locked="0" layoutInCell="1" allowOverlap="1" wp14:anchorId="17190E81" wp14:editId="374E2190">
            <wp:simplePos x="0" y="0"/>
            <wp:positionH relativeFrom="column">
              <wp:posOffset>0</wp:posOffset>
            </wp:positionH>
            <wp:positionV relativeFrom="paragraph">
              <wp:posOffset>380365</wp:posOffset>
            </wp:positionV>
            <wp:extent cx="5940425" cy="3669665"/>
            <wp:effectExtent l="0" t="0" r="3175" b="6985"/>
            <wp:wrapTopAndBottom/>
            <wp:docPr id="9901765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76597" name=""/>
                    <pic:cNvPicPr/>
                  </pic:nvPicPr>
                  <pic:blipFill>
                    <a:blip r:embed="rId10"/>
                    <a:stretch>
                      <a:fillRect/>
                    </a:stretch>
                  </pic:blipFill>
                  <pic:spPr>
                    <a:xfrm>
                      <a:off x="0" y="0"/>
                      <a:ext cx="5940425" cy="3669665"/>
                    </a:xfrm>
                    <a:prstGeom prst="rect">
                      <a:avLst/>
                    </a:prstGeom>
                  </pic:spPr>
                </pic:pic>
              </a:graphicData>
            </a:graphic>
          </wp:anchor>
        </w:drawing>
      </w:r>
    </w:p>
    <w:p w14:paraId="4EB2DB4C" w14:textId="00D77AC4" w:rsidR="003941B4" w:rsidRDefault="003941B4" w:rsidP="003941B4">
      <w:pPr>
        <w:ind w:firstLine="720"/>
        <w:jc w:val="center"/>
        <w:rPr>
          <w:rFonts w:ascii="Segoe UI" w:hAnsi="Segoe UI" w:cs="Segoe UI"/>
          <w:sz w:val="28"/>
          <w:szCs w:val="28"/>
        </w:rPr>
      </w:pPr>
      <w:r>
        <w:rPr>
          <w:rFonts w:ascii="Segoe UI" w:hAnsi="Segoe UI" w:cs="Segoe UI"/>
          <w:sz w:val="28"/>
          <w:szCs w:val="28"/>
        </w:rPr>
        <w:t xml:space="preserve">Рисунок 6 - </w:t>
      </w:r>
      <w:r w:rsidRPr="003941B4">
        <w:rPr>
          <w:rFonts w:ascii="Segoe UI" w:hAnsi="Segoe UI" w:cs="Segoe UI"/>
          <w:sz w:val="28"/>
          <w:szCs w:val="28"/>
        </w:rPr>
        <w:t>Співвідношення акційного та регулярного виторгу</w:t>
      </w:r>
    </w:p>
    <w:p w14:paraId="3CC8DBAA" w14:textId="66BF5DA9" w:rsidR="003941B4" w:rsidRPr="004D2683" w:rsidRDefault="003941B4" w:rsidP="003941B4">
      <w:pPr>
        <w:ind w:firstLine="720"/>
        <w:rPr>
          <w:rFonts w:ascii="Segoe UI" w:hAnsi="Segoe UI" w:cs="Segoe UI"/>
          <w:sz w:val="28"/>
          <w:szCs w:val="28"/>
          <w:lang w:val="ru-RU"/>
        </w:rPr>
      </w:pPr>
      <w:r w:rsidRPr="003941B4">
        <w:rPr>
          <w:rFonts w:ascii="Segoe UI" w:hAnsi="Segoe UI" w:cs="Segoe UI"/>
          <w:sz w:val="28"/>
          <w:szCs w:val="28"/>
        </w:rPr>
        <w:t>Для FMCG-сектору співвідношення, де чверть усього виторгу генерується через промо-заходи, є ознакою здорової комерційної моделі та помірної промо-залежності бізнесу. Це свідчить про те, що бренд-портфель компанії володіє високою самостійною цінністю для споживачів, які готові купувати товари повсякденного попиту за повною ціною</w:t>
      </w:r>
      <w:r w:rsidR="004D2683">
        <w:rPr>
          <w:rFonts w:ascii="Segoe UI" w:hAnsi="Segoe UI" w:cs="Segoe UI"/>
          <w:sz w:val="28"/>
          <w:szCs w:val="28"/>
          <w:lang w:val="ru-RU"/>
        </w:rPr>
        <w:t>.</w:t>
      </w:r>
    </w:p>
    <w:p w14:paraId="009FE8AC" w14:textId="545FDA00" w:rsidR="003941B4" w:rsidRPr="003941B4" w:rsidRDefault="003941B4" w:rsidP="004D2683">
      <w:pPr>
        <w:ind w:firstLine="720"/>
        <w:rPr>
          <w:rFonts w:ascii="Segoe UI" w:hAnsi="Segoe UI" w:cs="Segoe UI"/>
          <w:sz w:val="28"/>
          <w:szCs w:val="28"/>
        </w:rPr>
      </w:pPr>
      <w:r w:rsidRPr="003941B4">
        <w:rPr>
          <w:rFonts w:ascii="Segoe UI" w:hAnsi="Segoe UI" w:cs="Segoe UI"/>
          <w:sz w:val="28"/>
          <w:szCs w:val="28"/>
        </w:rPr>
        <w:lastRenderedPageBreak/>
        <w:t xml:space="preserve">З усім тим, маркетинговому департаменту рекомендується утримувати цей показник строго в межах поточних 25–30%. Перевищення цього порогу може запустити небезпечний для ритейлу тренд цінової спіралі, коли споживачі починають ігнорувати регулярні цінники і здійснюють покупки виключно в періоди акцій. </w:t>
      </w:r>
    </w:p>
    <w:p w14:paraId="11ADAEC8" w14:textId="77777777" w:rsidR="003941B4" w:rsidRPr="004D2683" w:rsidRDefault="003941B4" w:rsidP="004D2683">
      <w:pPr>
        <w:jc w:val="center"/>
        <w:rPr>
          <w:rFonts w:ascii="Segoe UI" w:hAnsi="Segoe UI" w:cs="Segoe UI"/>
          <w:b/>
          <w:bCs/>
          <w:sz w:val="28"/>
          <w:szCs w:val="28"/>
        </w:rPr>
      </w:pPr>
      <w:r w:rsidRPr="004D2683">
        <w:rPr>
          <w:rFonts w:ascii="Segoe UI" w:hAnsi="Segoe UI" w:cs="Segoe UI"/>
          <w:b/>
          <w:bCs/>
          <w:sz w:val="28"/>
          <w:szCs w:val="28"/>
        </w:rPr>
        <w:t>Частина 6: Загальні висновки та рекомендації</w:t>
      </w:r>
    </w:p>
    <w:p w14:paraId="4F16ED26" w14:textId="5D1DD454" w:rsidR="003941B4" w:rsidRPr="003941B4" w:rsidRDefault="003941B4" w:rsidP="004D2683">
      <w:pPr>
        <w:ind w:firstLine="720"/>
        <w:rPr>
          <w:rFonts w:ascii="Segoe UI" w:hAnsi="Segoe UI" w:cs="Segoe UI"/>
          <w:sz w:val="28"/>
          <w:szCs w:val="28"/>
        </w:rPr>
      </w:pPr>
      <w:r w:rsidRPr="003941B4">
        <w:rPr>
          <w:rFonts w:ascii="Segoe UI" w:hAnsi="Segoe UI" w:cs="Segoe UI"/>
          <w:sz w:val="28"/>
          <w:szCs w:val="28"/>
        </w:rPr>
        <w:t>Впровадження аналітичного рішення дозволило повністю вирішити проблему децентралізації даних ритейл-мережі. Трансформація масиву з понад 190 000 сирих транзакцій у структуровані SQL-вітрини на базі PostgreSQL забезпечила зниження обчислювального навантаження на BI-систему на 35% та заклала підґрунтя для миттєвого рендерингу інтерактивних звітів. Побудований дашборд у Power BI із налаштованою двосторонньою крос-фільтрацією надав стейкхолдерам інструмент для операційного моніторингу комерційних метрик у режимі одного кліку.</w:t>
      </w:r>
    </w:p>
    <w:p w14:paraId="3D949C84" w14:textId="77777777" w:rsidR="003941B4" w:rsidRPr="003941B4" w:rsidRDefault="003941B4" w:rsidP="003941B4">
      <w:pPr>
        <w:rPr>
          <w:rFonts w:ascii="Segoe UI" w:hAnsi="Segoe UI" w:cs="Segoe UI"/>
          <w:sz w:val="28"/>
          <w:szCs w:val="28"/>
        </w:rPr>
      </w:pPr>
      <w:r w:rsidRPr="003941B4">
        <w:rPr>
          <w:rFonts w:ascii="Segoe UI" w:hAnsi="Segoe UI" w:cs="Segoe UI"/>
          <w:sz w:val="28"/>
          <w:szCs w:val="28"/>
        </w:rPr>
        <w:t>На основі проведеного дослідження сформовано три ключові стратегічні рекомендації для керівництва компанії:</w:t>
      </w:r>
    </w:p>
    <w:p w14:paraId="09453DB0" w14:textId="3301610C" w:rsidR="003941B4" w:rsidRPr="003941B4" w:rsidRDefault="003941B4" w:rsidP="003941B4">
      <w:pPr>
        <w:numPr>
          <w:ilvl w:val="0"/>
          <w:numId w:val="8"/>
        </w:numPr>
        <w:rPr>
          <w:rFonts w:ascii="Segoe UI" w:hAnsi="Segoe UI" w:cs="Segoe UI"/>
          <w:sz w:val="28"/>
          <w:szCs w:val="28"/>
        </w:rPr>
      </w:pPr>
      <w:r w:rsidRPr="003941B4">
        <w:rPr>
          <w:rFonts w:ascii="Segoe UI" w:hAnsi="Segoe UI" w:cs="Segoe UI"/>
          <w:sz w:val="28"/>
          <w:szCs w:val="28"/>
        </w:rPr>
        <w:t>Реагування на стагнацію 2024 року: Починаючи з травня 2024 року, зафіксовано системне просідання виторгу відносно пікового 2023 року. Комерційному департаменту необхідно провести ревізію асортименту та цінової політики, фокусуючись на весняному періоді</w:t>
      </w:r>
      <w:r w:rsidR="00FB01B1">
        <w:rPr>
          <w:rFonts w:ascii="Segoe UI" w:hAnsi="Segoe UI" w:cs="Segoe UI"/>
          <w:sz w:val="28"/>
          <w:szCs w:val="28"/>
          <w:lang w:val="uk-UA"/>
        </w:rPr>
        <w:t>.</w:t>
      </w:r>
    </w:p>
    <w:p w14:paraId="405C3239" w14:textId="48B5DB48" w:rsidR="003941B4" w:rsidRPr="003941B4" w:rsidRDefault="003941B4" w:rsidP="003941B4">
      <w:pPr>
        <w:numPr>
          <w:ilvl w:val="0"/>
          <w:numId w:val="8"/>
        </w:numPr>
        <w:rPr>
          <w:rFonts w:ascii="Segoe UI" w:hAnsi="Segoe UI" w:cs="Segoe UI"/>
          <w:sz w:val="28"/>
          <w:szCs w:val="28"/>
        </w:rPr>
      </w:pPr>
      <w:r w:rsidRPr="003941B4">
        <w:rPr>
          <w:rFonts w:ascii="Segoe UI" w:hAnsi="Segoe UI" w:cs="Segoe UI"/>
          <w:sz w:val="28"/>
          <w:szCs w:val="28"/>
        </w:rPr>
        <w:t xml:space="preserve">Оптимізація портфеля брендів: Виявлено високу концентрацію капіталу навколо брендів-локомотивів (SnBrand2 та групи Yo). </w:t>
      </w:r>
      <w:r w:rsidR="00FB01B1">
        <w:rPr>
          <w:rFonts w:ascii="Segoe UI" w:hAnsi="Segoe UI" w:cs="Segoe UI"/>
          <w:sz w:val="28"/>
          <w:szCs w:val="28"/>
          <w:lang w:val="uk-UA"/>
        </w:rPr>
        <w:t>Варто</w:t>
      </w:r>
      <w:r w:rsidRPr="003941B4">
        <w:rPr>
          <w:rFonts w:ascii="Segoe UI" w:hAnsi="Segoe UI" w:cs="Segoe UI"/>
          <w:sz w:val="28"/>
          <w:szCs w:val="28"/>
        </w:rPr>
        <w:t xml:space="preserve"> диверсифікувати ризики надмірної залежності від лідерів шляхом перерозподілу частини маркетингового бюджету на підтримку середньої ланки брендів</w:t>
      </w:r>
      <w:r w:rsidR="00FB01B1">
        <w:rPr>
          <w:rFonts w:ascii="Segoe UI" w:hAnsi="Segoe UI" w:cs="Segoe UI"/>
          <w:sz w:val="28"/>
          <w:szCs w:val="28"/>
          <w:lang w:val="uk-UA"/>
        </w:rPr>
        <w:t>.</w:t>
      </w:r>
    </w:p>
    <w:p w14:paraId="2BFF91C5" w14:textId="7DF493D9" w:rsidR="003941B4" w:rsidRPr="003941B4" w:rsidRDefault="003941B4" w:rsidP="003941B4">
      <w:pPr>
        <w:numPr>
          <w:ilvl w:val="0"/>
          <w:numId w:val="8"/>
        </w:numPr>
        <w:rPr>
          <w:rFonts w:ascii="Segoe UI" w:hAnsi="Segoe UI" w:cs="Segoe UI"/>
          <w:sz w:val="28"/>
          <w:szCs w:val="28"/>
        </w:rPr>
      </w:pPr>
      <w:r w:rsidRPr="003941B4">
        <w:rPr>
          <w:rFonts w:ascii="Segoe UI" w:hAnsi="Segoe UI" w:cs="Segoe UI"/>
          <w:sz w:val="28"/>
          <w:szCs w:val="28"/>
        </w:rPr>
        <w:t>Аудит маржинальності каналів: Попри абсолютну рівність часток виторгу між Retail, E-commerce та Discount фінансова модель потребує глибшого аналізу в розрізі чистого прибутку</w:t>
      </w:r>
      <w:r w:rsidR="00FB01B1">
        <w:rPr>
          <w:rFonts w:ascii="Segoe UI" w:hAnsi="Segoe UI" w:cs="Segoe UI"/>
          <w:sz w:val="28"/>
          <w:szCs w:val="28"/>
          <w:lang w:val="uk-UA"/>
        </w:rPr>
        <w:t>.</w:t>
      </w:r>
    </w:p>
    <w:p w14:paraId="317A0F98" w14:textId="77777777" w:rsidR="003941B4" w:rsidRPr="003941B4" w:rsidRDefault="003941B4" w:rsidP="003941B4">
      <w:pPr>
        <w:rPr>
          <w:rFonts w:ascii="Segoe UI" w:hAnsi="Segoe UI" w:cs="Segoe UI"/>
          <w:sz w:val="28"/>
          <w:szCs w:val="28"/>
        </w:rPr>
      </w:pPr>
    </w:p>
    <w:sectPr w:rsidR="003941B4" w:rsidRPr="003941B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34BEF"/>
    <w:multiLevelType w:val="multilevel"/>
    <w:tmpl w:val="8E8884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034BFE"/>
    <w:multiLevelType w:val="multilevel"/>
    <w:tmpl w:val="41BC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506D05"/>
    <w:multiLevelType w:val="multilevel"/>
    <w:tmpl w:val="6CF4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730F1B"/>
    <w:multiLevelType w:val="multilevel"/>
    <w:tmpl w:val="83608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2B650E"/>
    <w:multiLevelType w:val="multilevel"/>
    <w:tmpl w:val="094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1C7DDF"/>
    <w:multiLevelType w:val="multilevel"/>
    <w:tmpl w:val="30C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3D4EA3"/>
    <w:multiLevelType w:val="multilevel"/>
    <w:tmpl w:val="0802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A262DC"/>
    <w:multiLevelType w:val="multilevel"/>
    <w:tmpl w:val="DEA0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9359366">
    <w:abstractNumId w:val="1"/>
  </w:num>
  <w:num w:numId="2" w16cid:durableId="70199188">
    <w:abstractNumId w:val="6"/>
  </w:num>
  <w:num w:numId="3" w16cid:durableId="1100761756">
    <w:abstractNumId w:val="5"/>
  </w:num>
  <w:num w:numId="4" w16cid:durableId="1272666704">
    <w:abstractNumId w:val="0"/>
  </w:num>
  <w:num w:numId="5" w16cid:durableId="2054497338">
    <w:abstractNumId w:val="4"/>
  </w:num>
  <w:num w:numId="6" w16cid:durableId="1330015562">
    <w:abstractNumId w:val="2"/>
  </w:num>
  <w:num w:numId="7" w16cid:durableId="2060978295">
    <w:abstractNumId w:val="7"/>
  </w:num>
  <w:num w:numId="8" w16cid:durableId="169391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015"/>
    <w:rsid w:val="0002183C"/>
    <w:rsid w:val="000946C5"/>
    <w:rsid w:val="000D77BD"/>
    <w:rsid w:val="000E4009"/>
    <w:rsid w:val="0011014E"/>
    <w:rsid w:val="0012778D"/>
    <w:rsid w:val="00134BC6"/>
    <w:rsid w:val="001412AB"/>
    <w:rsid w:val="00203CF7"/>
    <w:rsid w:val="00232D09"/>
    <w:rsid w:val="00260B69"/>
    <w:rsid w:val="00261063"/>
    <w:rsid w:val="002E12DF"/>
    <w:rsid w:val="00327450"/>
    <w:rsid w:val="00337F84"/>
    <w:rsid w:val="003941B4"/>
    <w:rsid w:val="003B5703"/>
    <w:rsid w:val="003D03DF"/>
    <w:rsid w:val="003E1A71"/>
    <w:rsid w:val="004028B2"/>
    <w:rsid w:val="00402F1A"/>
    <w:rsid w:val="00404AE1"/>
    <w:rsid w:val="00430EAF"/>
    <w:rsid w:val="004830F4"/>
    <w:rsid w:val="004D2683"/>
    <w:rsid w:val="00526E0B"/>
    <w:rsid w:val="005576B9"/>
    <w:rsid w:val="005A0D67"/>
    <w:rsid w:val="006446E7"/>
    <w:rsid w:val="006D3BCA"/>
    <w:rsid w:val="00747949"/>
    <w:rsid w:val="00786594"/>
    <w:rsid w:val="007C3638"/>
    <w:rsid w:val="00824015"/>
    <w:rsid w:val="00860B57"/>
    <w:rsid w:val="00890B89"/>
    <w:rsid w:val="008B4359"/>
    <w:rsid w:val="008C5C6E"/>
    <w:rsid w:val="0094224C"/>
    <w:rsid w:val="009919A6"/>
    <w:rsid w:val="009B38D3"/>
    <w:rsid w:val="009C0D17"/>
    <w:rsid w:val="00A271CA"/>
    <w:rsid w:val="00B50B9D"/>
    <w:rsid w:val="00B54C98"/>
    <w:rsid w:val="00B80D30"/>
    <w:rsid w:val="00BA31F8"/>
    <w:rsid w:val="00BA41A1"/>
    <w:rsid w:val="00BC2DC1"/>
    <w:rsid w:val="00C30832"/>
    <w:rsid w:val="00C57837"/>
    <w:rsid w:val="00C774E9"/>
    <w:rsid w:val="00CD3999"/>
    <w:rsid w:val="00DA109F"/>
    <w:rsid w:val="00DA2401"/>
    <w:rsid w:val="00DB6DE8"/>
    <w:rsid w:val="00DC7C41"/>
    <w:rsid w:val="00E11120"/>
    <w:rsid w:val="00E161EF"/>
    <w:rsid w:val="00E82AB9"/>
    <w:rsid w:val="00F34354"/>
    <w:rsid w:val="00F5630C"/>
    <w:rsid w:val="00F866CE"/>
    <w:rsid w:val="00FB01B1"/>
    <w:rsid w:val="00FF146E"/>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81C4E"/>
  <w15:chartTrackingRefBased/>
  <w15:docId w15:val="{2B1E3601-ED06-4D7A-89FA-76179B308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240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240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2401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2401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240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2401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2401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2401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2401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2401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2401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2401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2401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2401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2401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24015"/>
    <w:rPr>
      <w:rFonts w:eastAsiaTheme="majorEastAsia" w:cstheme="majorBidi"/>
      <w:color w:val="595959" w:themeColor="text1" w:themeTint="A6"/>
    </w:rPr>
  </w:style>
  <w:style w:type="character" w:customStyle="1" w:styleId="80">
    <w:name w:val="Заголовок 8 Знак"/>
    <w:basedOn w:val="a0"/>
    <w:link w:val="8"/>
    <w:uiPriority w:val="9"/>
    <w:semiHidden/>
    <w:rsid w:val="0082401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24015"/>
    <w:rPr>
      <w:rFonts w:eastAsiaTheme="majorEastAsia" w:cstheme="majorBidi"/>
      <w:color w:val="272727" w:themeColor="text1" w:themeTint="D8"/>
    </w:rPr>
  </w:style>
  <w:style w:type="paragraph" w:styleId="a3">
    <w:name w:val="Title"/>
    <w:basedOn w:val="a"/>
    <w:next w:val="a"/>
    <w:link w:val="a4"/>
    <w:uiPriority w:val="10"/>
    <w:qFormat/>
    <w:rsid w:val="008240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240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2401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2401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24015"/>
    <w:pPr>
      <w:spacing w:before="160"/>
      <w:jc w:val="center"/>
    </w:pPr>
    <w:rPr>
      <w:i/>
      <w:iCs/>
      <w:color w:val="404040" w:themeColor="text1" w:themeTint="BF"/>
    </w:rPr>
  </w:style>
  <w:style w:type="character" w:customStyle="1" w:styleId="22">
    <w:name w:val="Цитата 2 Знак"/>
    <w:basedOn w:val="a0"/>
    <w:link w:val="21"/>
    <w:uiPriority w:val="29"/>
    <w:rsid w:val="00824015"/>
    <w:rPr>
      <w:i/>
      <w:iCs/>
      <w:color w:val="404040" w:themeColor="text1" w:themeTint="BF"/>
    </w:rPr>
  </w:style>
  <w:style w:type="paragraph" w:styleId="a7">
    <w:name w:val="List Paragraph"/>
    <w:basedOn w:val="a"/>
    <w:uiPriority w:val="34"/>
    <w:qFormat/>
    <w:rsid w:val="00824015"/>
    <w:pPr>
      <w:ind w:left="720"/>
      <w:contextualSpacing/>
    </w:pPr>
  </w:style>
  <w:style w:type="character" w:styleId="a8">
    <w:name w:val="Intense Emphasis"/>
    <w:basedOn w:val="a0"/>
    <w:uiPriority w:val="21"/>
    <w:qFormat/>
    <w:rsid w:val="00824015"/>
    <w:rPr>
      <w:i/>
      <w:iCs/>
      <w:color w:val="0F4761" w:themeColor="accent1" w:themeShade="BF"/>
    </w:rPr>
  </w:style>
  <w:style w:type="paragraph" w:styleId="a9">
    <w:name w:val="Intense Quote"/>
    <w:basedOn w:val="a"/>
    <w:next w:val="a"/>
    <w:link w:val="aa"/>
    <w:uiPriority w:val="30"/>
    <w:qFormat/>
    <w:rsid w:val="008240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24015"/>
    <w:rPr>
      <w:i/>
      <w:iCs/>
      <w:color w:val="0F4761" w:themeColor="accent1" w:themeShade="BF"/>
    </w:rPr>
  </w:style>
  <w:style w:type="character" w:styleId="ab">
    <w:name w:val="Intense Reference"/>
    <w:basedOn w:val="a0"/>
    <w:uiPriority w:val="32"/>
    <w:qFormat/>
    <w:rsid w:val="00824015"/>
    <w:rPr>
      <w:b/>
      <w:bCs/>
      <w:smallCaps/>
      <w:color w:val="0F4761" w:themeColor="accent1" w:themeShade="BF"/>
      <w:spacing w:val="5"/>
    </w:rPr>
  </w:style>
  <w:style w:type="paragraph" w:styleId="ac">
    <w:name w:val="Normal (Web)"/>
    <w:basedOn w:val="a"/>
    <w:uiPriority w:val="99"/>
    <w:semiHidden/>
    <w:unhideWhenUsed/>
    <w:rsid w:val="0012778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792</TotalTime>
  <Pages>10</Pages>
  <Words>1951</Words>
  <Characters>11127</Characters>
  <Application>Microsoft Office Word</Application>
  <DocSecurity>0</DocSecurity>
  <Lines>92</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Тіщук Андрій Олександрович</dc:creator>
  <cp:keywords/>
  <dc:description/>
  <cp:lastModifiedBy>Тіщук Андрій Олександрович</cp:lastModifiedBy>
  <cp:revision>26</cp:revision>
  <dcterms:created xsi:type="dcterms:W3CDTF">2026-05-10T16:37:00Z</dcterms:created>
  <dcterms:modified xsi:type="dcterms:W3CDTF">2026-06-25T16:21:00Z</dcterms:modified>
</cp:coreProperties>
</file>