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WTitle"/>
        <w:jc w:val="left"/>
      </w:pPr>
      <w:r>
        <w:t>PROJECT WARRIORS — UPDATED CANON OVERVIEW</w:t>
      </w:r>
    </w:p>
    <w:p>
      <w:pPr>
        <w:pStyle w:val="PWSubtitle"/>
      </w:pPr>
      <w:r>
        <w:t>Rebuilt from the legacy concept PDF against the rev2 archival master, working compendia, and current locked project-memory directions.</w:t>
      </w:r>
    </w:p>
    <w:tbl>
      <w:tblPr>
        <w:tblW w:type="auto" w:w="0"/>
        <w:jc w:val="center"/>
        <w:tblLayout w:type="fixed"/>
        <w:tblLook w:firstColumn="1" w:firstRow="1" w:lastColumn="0" w:lastRow="0" w:noHBand="0" w:noVBand="1" w:val="04A0"/>
      </w:tblPr>
      <w:tblGrid>
        <w:gridCol w:w="1944"/>
        <w:gridCol w:w="3456"/>
        <w:gridCol w:w="1944"/>
        <w:gridCol w:w="3456"/>
      </w:tblGrid>
      <w:tr>
        <w:tc>
          <w:tcPr>
            <w:tcW w:type="dxa" w:w="2376"/>
            <w:vAlign w:val="center"/>
            <w:shd w:fill="DCE6F2"/>
            <w:tcBorders>
              <w:left w:val="single" w:sz="6" w:color="C7D2E3"/>
              <w:top w:val="single" w:sz="6" w:color="C7D2E3"/>
              <w:right w:val="single" w:sz="6" w:color="C7D2E3"/>
              <w:bottom w:val="single" w:sz="6" w:color="C7D2E3"/>
            </w:tcBorders>
          </w:tcPr>
          <w:p>
            <w:pPr>
              <w:spacing w:after="0" w:before="0"/>
            </w:pPr>
            <w:r>
              <w:rPr>
                <w:rFonts w:ascii="Arial" w:hAnsi="Arial" w:eastAsia="Arial"/>
                <w:b/>
                <w:sz w:val="19"/>
              </w:rPr>
              <w:t>Document ID</w:t>
            </w:r>
          </w:p>
        </w:tc>
        <w:tc>
          <w:tcPr>
            <w:tcW w:type="dxa" w:w="2376"/>
            <w:vAlign w:val="center"/>
            <w:shd w:fill="F8FAFC"/>
            <w:tcBorders>
              <w:left w:val="single" w:sz="6" w:color="C7D2E3"/>
              <w:top w:val="single" w:sz="6" w:color="C7D2E3"/>
              <w:right w:val="single" w:sz="6" w:color="C7D2E3"/>
              <w:bottom w:val="single" w:sz="6" w:color="C7D2E3"/>
            </w:tcBorders>
          </w:tcPr>
          <w:p>
            <w:pPr>
              <w:spacing w:after="0" w:before="0"/>
            </w:pPr>
            <w:r>
              <w:rPr>
                <w:rFonts w:ascii="Arial" w:hAnsi="Arial" w:eastAsia="Arial"/>
                <w:sz w:val="19"/>
              </w:rPr>
              <w:t>PW-OVR-CORE-001</w:t>
            </w:r>
          </w:p>
        </w:tc>
        <w:tc>
          <w:tcPr>
            <w:tcW w:type="dxa" w:w="2376"/>
            <w:vAlign w:val="center"/>
            <w:shd w:fill="DCE6F2"/>
            <w:tcBorders>
              <w:left w:val="single" w:sz="6" w:color="C7D2E3"/>
              <w:top w:val="single" w:sz="6" w:color="C7D2E3"/>
              <w:right w:val="single" w:sz="6" w:color="C7D2E3"/>
              <w:bottom w:val="single" w:sz="6" w:color="C7D2E3"/>
            </w:tcBorders>
          </w:tcPr>
          <w:p>
            <w:pPr>
              <w:spacing w:after="0" w:before="0"/>
            </w:pPr>
            <w:r>
              <w:rPr>
                <w:rFonts w:ascii="Arial" w:hAnsi="Arial" w:eastAsia="Arial"/>
                <w:b/>
                <w:sz w:val="19"/>
              </w:rPr>
              <w:t>Domain</w:t>
            </w:r>
          </w:p>
        </w:tc>
        <w:tc>
          <w:tcPr>
            <w:tcW w:type="dxa" w:w="2376"/>
            <w:vAlign w:val="center"/>
            <w:shd w:fill="F8FAFC"/>
            <w:tcBorders>
              <w:left w:val="single" w:sz="6" w:color="C7D2E3"/>
              <w:top w:val="single" w:sz="6" w:color="C7D2E3"/>
              <w:right w:val="single" w:sz="6" w:color="C7D2E3"/>
              <w:bottom w:val="single" w:sz="6" w:color="C7D2E3"/>
            </w:tcBorders>
          </w:tcPr>
          <w:p>
            <w:pPr>
              <w:spacing w:after="0" w:before="0"/>
            </w:pPr>
            <w:r>
              <w:rPr>
                <w:rFonts w:ascii="Arial" w:hAnsi="Arial" w:eastAsia="Arial"/>
                <w:sz w:val="19"/>
              </w:rPr>
              <w:t>Cross-domain narrative overview</w:t>
            </w:r>
          </w:p>
        </w:tc>
      </w:tr>
      <w:tr>
        <w:tc>
          <w:tcPr>
            <w:tcW w:type="dxa" w:w="2376"/>
            <w:vAlign w:val="center"/>
            <w:shd w:fill="DCE6F2"/>
            <w:tcBorders>
              <w:left w:val="single" w:sz="6" w:color="C7D2E3"/>
              <w:top w:val="single" w:sz="6" w:color="C7D2E3"/>
              <w:right w:val="single" w:sz="6" w:color="C7D2E3"/>
              <w:bottom w:val="single" w:sz="6" w:color="C7D2E3"/>
            </w:tcBorders>
          </w:tcPr>
          <w:p>
            <w:pPr>
              <w:spacing w:after="0" w:before="0"/>
            </w:pPr>
            <w:r>
              <w:rPr>
                <w:rFonts w:ascii="Arial" w:hAnsi="Arial" w:eastAsia="Arial"/>
                <w:b/>
                <w:sz w:val="19"/>
              </w:rPr>
              <w:t>Status</w:t>
            </w:r>
          </w:p>
        </w:tc>
        <w:tc>
          <w:tcPr>
            <w:tcW w:type="dxa" w:w="2376"/>
            <w:vAlign w:val="center"/>
            <w:shd w:fill="F8FAFC"/>
            <w:tcBorders>
              <w:left w:val="single" w:sz="6" w:color="C7D2E3"/>
              <w:top w:val="single" w:sz="6" w:color="C7D2E3"/>
              <w:right w:val="single" w:sz="6" w:color="C7D2E3"/>
              <w:bottom w:val="single" w:sz="6" w:color="C7D2E3"/>
            </w:tcBorders>
          </w:tcPr>
          <w:p>
            <w:pPr>
              <w:spacing w:after="0" w:before="0"/>
            </w:pPr>
            <w:r>
              <w:rPr>
                <w:rFonts w:ascii="Arial" w:hAnsi="Arial" w:eastAsia="Arial"/>
                <w:sz w:val="19"/>
              </w:rPr>
              <w:t>Active working overview</w:t>
            </w:r>
          </w:p>
        </w:tc>
        <w:tc>
          <w:tcPr>
            <w:tcW w:type="dxa" w:w="2376"/>
            <w:vAlign w:val="center"/>
            <w:shd w:fill="DCE6F2"/>
            <w:tcBorders>
              <w:left w:val="single" w:sz="6" w:color="C7D2E3"/>
              <w:top w:val="single" w:sz="6" w:color="C7D2E3"/>
              <w:right w:val="single" w:sz="6" w:color="C7D2E3"/>
              <w:bottom w:val="single" w:sz="6" w:color="C7D2E3"/>
            </w:tcBorders>
          </w:tcPr>
          <w:p>
            <w:pPr>
              <w:spacing w:after="0" w:before="0"/>
            </w:pPr>
            <w:r>
              <w:rPr>
                <w:rFonts w:ascii="Arial" w:hAnsi="Arial" w:eastAsia="Arial"/>
                <w:b/>
                <w:sz w:val="19"/>
              </w:rPr>
              <w:t>Canon state</w:t>
            </w:r>
          </w:p>
        </w:tc>
        <w:tc>
          <w:tcPr>
            <w:tcW w:type="dxa" w:w="2376"/>
            <w:vAlign w:val="center"/>
            <w:shd w:fill="F8FAFC"/>
            <w:tcBorders>
              <w:left w:val="single" w:sz="6" w:color="C7D2E3"/>
              <w:top w:val="single" w:sz="6" w:color="C7D2E3"/>
              <w:right w:val="single" w:sz="6" w:color="C7D2E3"/>
              <w:bottom w:val="single" w:sz="6" w:color="C7D2E3"/>
            </w:tcBorders>
          </w:tcPr>
          <w:p>
            <w:pPr>
              <w:spacing w:after="0" w:before="0"/>
            </w:pPr>
            <w:r>
              <w:rPr>
                <w:rFonts w:ascii="Arial" w:hAnsi="Arial" w:eastAsia="Arial"/>
                <w:sz w:val="19"/>
              </w:rPr>
              <w:t>Mixed: locked canon + open development gaps marked explicitly</w:t>
            </w:r>
          </w:p>
        </w:tc>
      </w:tr>
      <w:tr>
        <w:tc>
          <w:tcPr>
            <w:tcW w:type="dxa" w:w="2376"/>
            <w:vAlign w:val="center"/>
            <w:shd w:fill="DCE6F2"/>
            <w:tcBorders>
              <w:left w:val="single" w:sz="6" w:color="C7D2E3"/>
              <w:top w:val="single" w:sz="6" w:color="C7D2E3"/>
              <w:right w:val="single" w:sz="6" w:color="C7D2E3"/>
              <w:bottom w:val="single" w:sz="6" w:color="C7D2E3"/>
            </w:tcBorders>
          </w:tcPr>
          <w:p>
            <w:pPr>
              <w:spacing w:after="0" w:before="0"/>
            </w:pPr>
            <w:r>
              <w:rPr>
                <w:rFonts w:ascii="Arial" w:hAnsi="Arial" w:eastAsia="Arial"/>
                <w:b/>
                <w:sz w:val="19"/>
              </w:rPr>
              <w:t>Last updated</w:t>
            </w:r>
          </w:p>
        </w:tc>
        <w:tc>
          <w:tcPr>
            <w:tcW w:type="dxa" w:w="2376"/>
            <w:vAlign w:val="center"/>
            <w:shd w:fill="F8FAFC"/>
            <w:tcBorders>
              <w:left w:val="single" w:sz="6" w:color="C7D2E3"/>
              <w:top w:val="single" w:sz="6" w:color="C7D2E3"/>
              <w:right w:val="single" w:sz="6" w:color="C7D2E3"/>
              <w:bottom w:val="single" w:sz="6" w:color="C7D2E3"/>
            </w:tcBorders>
          </w:tcPr>
          <w:p>
            <w:pPr>
              <w:spacing w:after="0" w:before="0"/>
            </w:pPr>
            <w:r>
              <w:rPr>
                <w:rFonts w:ascii="Arial" w:hAnsi="Arial" w:eastAsia="Arial"/>
                <w:sz w:val="19"/>
              </w:rPr>
              <w:t>2026-04-13</w:t>
            </w:r>
          </w:p>
        </w:tc>
        <w:tc>
          <w:tcPr>
            <w:tcW w:type="dxa" w:w="2376"/>
            <w:vAlign w:val="center"/>
            <w:shd w:fill="DCE6F2"/>
            <w:tcBorders>
              <w:left w:val="single" w:sz="6" w:color="C7D2E3"/>
              <w:top w:val="single" w:sz="6" w:color="C7D2E3"/>
              <w:right w:val="single" w:sz="6" w:color="C7D2E3"/>
              <w:bottom w:val="single" w:sz="6" w:color="C7D2E3"/>
            </w:tcBorders>
          </w:tcPr>
          <w:p>
            <w:pPr>
              <w:spacing w:after="0" w:before="0"/>
            </w:pPr>
            <w:r>
              <w:rPr>
                <w:rFonts w:ascii="Arial" w:hAnsi="Arial" w:eastAsia="Arial"/>
                <w:b/>
                <w:sz w:val="19"/>
              </w:rPr>
              <w:t>Source type</w:t>
            </w:r>
          </w:p>
        </w:tc>
        <w:tc>
          <w:tcPr>
            <w:tcW w:type="dxa" w:w="2376"/>
            <w:vAlign w:val="center"/>
            <w:shd w:fill="F8FAFC"/>
            <w:tcBorders>
              <w:left w:val="single" w:sz="6" w:color="C7D2E3"/>
              <w:top w:val="single" w:sz="6" w:color="C7D2E3"/>
              <w:right w:val="single" w:sz="6" w:color="C7D2E3"/>
              <w:bottom w:val="single" w:sz="6" w:color="C7D2E3"/>
            </w:tcBorders>
          </w:tcPr>
          <w:p>
            <w:pPr>
              <w:spacing w:after="0" w:before="0"/>
            </w:pPr>
            <w:r>
              <w:rPr>
                <w:rFonts w:ascii="Arial" w:hAnsi="Arial" w:eastAsia="Arial"/>
                <w:sz w:val="19"/>
              </w:rPr>
              <w:t>Primary overview / working source</w:t>
            </w:r>
          </w:p>
        </w:tc>
      </w:tr>
      <w:tr>
        <w:tc>
          <w:tcPr>
            <w:tcW w:type="dxa" w:w="2376"/>
            <w:vAlign w:val="center"/>
            <w:shd w:fill="DCE6F2"/>
            <w:tcBorders>
              <w:left w:val="single" w:sz="6" w:color="C7D2E3"/>
              <w:top w:val="single" w:sz="6" w:color="C7D2E3"/>
              <w:right w:val="single" w:sz="6" w:color="C7D2E3"/>
              <w:bottom w:val="single" w:sz="6" w:color="C7D2E3"/>
            </w:tcBorders>
          </w:tcPr>
          <w:p>
            <w:pPr>
              <w:spacing w:after="0" w:before="0"/>
            </w:pPr>
            <w:r>
              <w:rPr>
                <w:rFonts w:ascii="Arial" w:hAnsi="Arial" w:eastAsia="Arial"/>
                <w:b/>
                <w:sz w:val="19"/>
              </w:rPr>
              <w:t>Supersedes</w:t>
            </w:r>
          </w:p>
        </w:tc>
        <w:tc>
          <w:tcPr>
            <w:tcW w:type="dxa" w:w="2376"/>
            <w:vAlign w:val="center"/>
            <w:shd w:fill="F8FAFC"/>
            <w:tcBorders>
              <w:left w:val="single" w:sz="6" w:color="C7D2E3"/>
              <w:top w:val="single" w:sz="6" w:color="C7D2E3"/>
              <w:right w:val="single" w:sz="6" w:color="C7D2E3"/>
              <w:bottom w:val="single" w:sz="6" w:color="C7D2E3"/>
            </w:tcBorders>
          </w:tcPr>
          <w:p>
            <w:pPr>
              <w:spacing w:after="0" w:before="0"/>
            </w:pPr>
            <w:r>
              <w:rPr>
                <w:rFonts w:ascii="Arial" w:hAnsi="Arial" w:eastAsia="Arial"/>
                <w:sz w:val="19"/>
              </w:rPr>
              <w:t>Fictional FPS campaign (8).pdf</w:t>
            </w:r>
          </w:p>
        </w:tc>
        <w:tc>
          <w:tcPr>
            <w:tcW w:type="dxa" w:w="2376"/>
            <w:vAlign w:val="center"/>
            <w:shd w:fill="DCE6F2"/>
            <w:tcBorders>
              <w:left w:val="single" w:sz="6" w:color="C7D2E3"/>
              <w:top w:val="single" w:sz="6" w:color="C7D2E3"/>
              <w:right w:val="single" w:sz="6" w:color="C7D2E3"/>
              <w:bottom w:val="single" w:sz="6" w:color="C7D2E3"/>
            </w:tcBorders>
          </w:tcPr>
          <w:p>
            <w:pPr>
              <w:spacing w:after="0" w:before="0"/>
            </w:pPr>
            <w:r>
              <w:rPr>
                <w:rFonts w:ascii="Arial" w:hAnsi="Arial" w:eastAsia="Arial"/>
                <w:b/>
                <w:sz w:val="19"/>
              </w:rPr>
              <w:t>Superseded by</w:t>
            </w:r>
          </w:p>
        </w:tc>
        <w:tc>
          <w:tcPr>
            <w:tcW w:type="dxa" w:w="2376"/>
            <w:vAlign w:val="center"/>
            <w:shd w:fill="F8FAFC"/>
            <w:tcBorders>
              <w:left w:val="single" w:sz="6" w:color="C7D2E3"/>
              <w:top w:val="single" w:sz="6" w:color="C7D2E3"/>
              <w:right w:val="single" w:sz="6" w:color="C7D2E3"/>
              <w:bottom w:val="single" w:sz="6" w:color="C7D2E3"/>
            </w:tcBorders>
          </w:tcPr>
          <w:p>
            <w:pPr>
              <w:spacing w:after="0" w:before="0"/>
            </w:pPr>
            <w:r>
              <w:rPr>
                <w:rFonts w:ascii="Arial" w:hAnsi="Arial" w:eastAsia="Arial"/>
                <w:sz w:val="19"/>
              </w:rPr>
              <w:t>—</w:t>
            </w:r>
          </w:p>
        </w:tc>
      </w:tr>
      <w:tr>
        <w:tc>
          <w:tcPr>
            <w:tcW w:type="dxa" w:w="2376"/>
            <w:vAlign w:val="center"/>
            <w:shd w:fill="DCE6F2"/>
            <w:tcBorders>
              <w:left w:val="single" w:sz="6" w:color="C7D2E3"/>
              <w:top w:val="single" w:sz="6" w:color="C7D2E3"/>
              <w:right w:val="single" w:sz="6" w:color="C7D2E3"/>
              <w:bottom w:val="single" w:sz="6" w:color="C7D2E3"/>
            </w:tcBorders>
          </w:tcPr>
          <w:p>
            <w:pPr>
              <w:spacing w:after="0" w:before="0"/>
            </w:pPr>
            <w:r>
              <w:rPr>
                <w:rFonts w:ascii="Arial" w:hAnsi="Arial" w:eastAsia="Arial"/>
                <w:b/>
                <w:sz w:val="19"/>
              </w:rPr>
              <w:t>Related files</w:t>
            </w:r>
          </w:p>
        </w:tc>
        <w:tc>
          <w:tcPr>
            <w:tcW w:type="dxa" w:w="2376"/>
            <w:vAlign w:val="center"/>
            <w:shd w:fill="F8FAFC"/>
            <w:tcBorders>
              <w:left w:val="single" w:sz="6" w:color="C7D2E3"/>
              <w:top w:val="single" w:sz="6" w:color="C7D2E3"/>
              <w:right w:val="single" w:sz="6" w:color="C7D2E3"/>
              <w:bottom w:val="single" w:sz="6" w:color="C7D2E3"/>
            </w:tcBorders>
          </w:tcPr>
          <w:p>
            <w:pPr>
              <w:spacing w:after="0" w:before="0"/>
            </w:pPr>
            <w:r>
              <w:rPr>
                <w:rFonts w:ascii="Arial" w:hAnsi="Arial" w:eastAsia="Arial"/>
                <w:sz w:val="19"/>
              </w:rPr>
              <w:t>01–06 working compendia, archival master, memory integration patch</w:t>
            </w:r>
          </w:p>
        </w:tc>
        <w:tc>
          <w:tcPr>
            <w:tcW w:type="dxa" w:w="2376"/>
            <w:vAlign w:val="center"/>
            <w:shd w:fill="DCE6F2"/>
            <w:tcBorders>
              <w:left w:val="single" w:sz="6" w:color="C7D2E3"/>
              <w:top w:val="single" w:sz="6" w:color="C7D2E3"/>
              <w:right w:val="single" w:sz="6" w:color="C7D2E3"/>
              <w:bottom w:val="single" w:sz="6" w:color="C7D2E3"/>
            </w:tcBorders>
          </w:tcPr>
          <w:p>
            <w:pPr>
              <w:spacing w:after="0" w:before="0"/>
            </w:pPr>
            <w:r>
              <w:rPr>
                <w:rFonts w:ascii="Arial" w:hAnsi="Arial" w:eastAsia="Arial"/>
                <w:b/>
                <w:sz w:val="19"/>
              </w:rPr>
              <w:t>Use rule</w:t>
            </w:r>
          </w:p>
        </w:tc>
        <w:tc>
          <w:tcPr>
            <w:tcW w:type="dxa" w:w="2376"/>
            <w:vAlign w:val="center"/>
            <w:shd w:fill="F8FAFC"/>
            <w:tcBorders>
              <w:left w:val="single" w:sz="6" w:color="C7D2E3"/>
              <w:top w:val="single" w:sz="6" w:color="C7D2E3"/>
              <w:right w:val="single" w:sz="6" w:color="C7D2E3"/>
              <w:bottom w:val="single" w:sz="6" w:color="C7D2E3"/>
            </w:tcBorders>
          </w:tcPr>
          <w:p>
            <w:pPr>
              <w:spacing w:after="0" w:before="0"/>
            </w:pPr>
            <w:r>
              <w:rPr>
                <w:rFonts w:ascii="Arial" w:hAnsi="Arial" w:eastAsia="Arial"/>
                <w:sz w:val="19"/>
              </w:rPr>
              <w:t>Update source-first, then refresh compendium</w:t>
            </w:r>
          </w:p>
        </w:tc>
      </w:tr>
    </w:tbl>
    <w:p/>
    <w:tbl>
      <w:tblPr>
        <w:tblW w:type="auto" w:w="0"/>
        <w:jc w:val="center"/>
        <w:tblLayout w:type="fixed"/>
        <w:tblLook w:firstColumn="1" w:firstRow="1" w:lastColumn="0" w:lastRow="0" w:noHBand="0" w:noVBand="1" w:val="04A0"/>
      </w:tblPr>
      <w:tblGrid>
        <w:gridCol w:w="9504"/>
      </w:tblGrid>
      <w:tr>
        <w:tc>
          <w:tcPr>
            <w:tcW w:type="dxa" w:w="9936"/>
            <w:vAlign w:val="center"/>
            <w:shd w:fill="FFF7D6"/>
            <w:tcBorders>
              <w:left w:val="single" w:sz="8" w:color="D9C36A"/>
              <w:top w:val="single" w:sz="8" w:color="D9C36A"/>
              <w:right w:val="single" w:sz="8" w:color="D9C36A"/>
              <w:bottom w:val="single" w:sz="8" w:color="D9C36A"/>
            </w:tcBorders>
          </w:tcPr>
          <w:p>
            <w:pPr>
              <w:spacing w:after="0" w:before="0"/>
            </w:pPr>
            <w:r>
              <w:rPr>
                <w:rFonts w:ascii="Arial" w:hAnsi="Arial" w:eastAsia="Arial"/>
                <w:sz w:val="19"/>
              </w:rPr>
              <w:t>SUPERSSESSION NOTE  This rebuild does not preserve the stale PDF verbatim. It keeps the original document’s function — a compact narrative/source overview — but replaces outdated material with current canon, explicit status markers, and cleaner source governance.</w:t>
            </w:r>
          </w:p>
        </w:tc>
      </w:tr>
    </w:tbl>
    <w:p>
      <w:pPr>
        <w:pStyle w:val="PWHeading2"/>
      </w:pPr>
      <w:r>
        <w:t>STATUS KEY</w:t>
      </w:r>
    </w:p>
    <w:p>
      <w:pPr>
        <w:pStyle w:val="ListBullet"/>
        <w:spacing w:after="40"/>
      </w:pPr>
      <w:r>
        <w:t>[LOCKED] confirmed canon or development direction</w:t>
      </w:r>
    </w:p>
    <w:p>
      <w:pPr>
        <w:pStyle w:val="ListBullet"/>
        <w:spacing w:after="40"/>
      </w:pPr>
      <w:r>
        <w:t>[DEVELOPMENT] active direction with meaningful structure already present</w:t>
      </w:r>
    </w:p>
    <w:p>
      <w:pPr>
        <w:pStyle w:val="ListBullet"/>
        <w:spacing w:after="40"/>
      </w:pPr>
      <w:r>
        <w:t>[GAP] known unresolved area requiring dedicated follow-up</w:t>
      </w:r>
    </w:p>
    <w:p>
      <w:pPr>
        <w:pStyle w:val="ListBullet"/>
        <w:spacing w:after="40"/>
      </w:pPr>
      <w:r>
        <w:t>[SUPERSEDED] older legacy-PDF note no longer valid in current project-facing material</w:t>
      </w:r>
    </w:p>
    <w:p>
      <w:pPr>
        <w:pStyle w:val="PWHeading1"/>
      </w:pPr>
      <w:r>
        <w:t>1. PROJECT IDENTITY AND TRILOGY FRAME</w:t>
      </w:r>
    </w:p>
    <w:p>
      <w:pPr>
        <w:spacing w:after="100"/>
      </w:pPr>
      <w:r>
        <w:t>Project Warriors remains the locked trilogy identity, with trilogy installment titles Project Warriors I, Project Warriors II, and Project Warriors III. The current studio identity is Tears in the Rain (TITR), with the descriptor “Virtual Entertainment Software.” [LOCKED]</w:t>
      </w:r>
    </w:p>
    <w:p>
      <w:pPr>
        <w:spacing w:after="100"/>
      </w:pPr>
      <w:r>
        <w:t>The trilogy-level thematic arc is now best understood as Fracture. Resistance. Restoration. Use those three words as directional emphasis rather than rigid one-game-only compartments. Restoration, in particular, should read as the beginning of rebuilt possibility rather than a neat utopian endpoint. [LOCKED]</w:t>
      </w:r>
    </w:p>
    <w:p>
      <w:pPr>
        <w:pStyle w:val="ListBullet"/>
        <w:spacing w:after="40"/>
      </w:pPr>
      <w:r>
        <w:rPr>
          <w:rFonts w:ascii="Arial" w:hAnsi="Arial" w:eastAsia="Arial"/>
          <w:sz w:val="20"/>
        </w:rPr>
        <w:t>Game 2 campaign identities: Romeo = American Freedom / WAR HITS HOME; Ducky = Persistent Threat / THE SYSTEM FELL. WE DIDN’T.; Spook = Godkiller / YOU CAN’T KILL A DEAD MAN. [LOCKED]</w:t>
      </w:r>
    </w:p>
    <w:p>
      <w:pPr>
        <w:pStyle w:val="ListBullet"/>
        <w:spacing w:after="40"/>
      </w:pPr>
      <w:r>
        <w:rPr>
          <w:rFonts w:ascii="Arial" w:hAnsi="Arial" w:eastAsia="Arial"/>
          <w:sz w:val="20"/>
        </w:rPr>
        <w:t>Current teaser/audio anchors: Romeo = “Good Morning, America”; Ducky = “Kyiv”; Spook = “King Nothing” as teaser tone-setter. [LOCKED]</w:t>
      </w:r>
    </w:p>
    <w:p>
      <w:pPr>
        <w:pStyle w:val="ListBullet"/>
        <w:spacing w:after="40"/>
      </w:pPr>
      <w:r>
        <w:rPr>
          <w:rFonts w:ascii="Arial" w:hAnsi="Arial" w:eastAsia="Arial"/>
          <w:sz w:val="20"/>
        </w:rPr>
        <w:t>DLC line presently in play: Sea Spear (Nereid Black), The Wasp / La Avispa direction, Semper Fi, Who Dares Wins concept, and a provisional Australian home-defense direction. [DEVELOPMENT]</w:t>
      </w:r>
    </w:p>
    <w:p>
      <w:pPr>
        <w:pStyle w:val="PWHeading1"/>
      </w:pPr>
      <w:r>
        <w:t>2. SOURCE GOVERNANCE AND WORKFLOW</w:t>
      </w:r>
    </w:p>
    <w:p>
      <w:pPr>
        <w:spacing w:after="100"/>
      </w:pPr>
      <w:r>
        <w:t>The old all-in-one PDF now belongs to the legacy layer, not the active working layer. The current source model is one milestone-refreshed archival master plus six day-to-day working compendia. Edit source-of-truth files first, then refresh the compendium layer; refresh the archival master at milestone points rather than after every small change. [LOCKED]</w:t>
      </w:r>
    </w:p>
    <w:p>
      <w:pPr>
        <w:pStyle w:val="ListBullet"/>
        <w:spacing w:after="40"/>
      </w:pPr>
      <w:r>
        <w:rPr>
          <w:rFonts w:ascii="Arial" w:hAnsi="Arial" w:eastAsia="Arial"/>
          <w:sz w:val="20"/>
        </w:rPr>
        <w:t>Default live set: the six working compendia.</w:t>
      </w:r>
    </w:p>
    <w:p>
      <w:pPr>
        <w:pStyle w:val="ListBullet"/>
        <w:spacing w:after="40"/>
      </w:pPr>
      <w:r>
        <w:rPr>
          <w:rFonts w:ascii="Arial" w:hAnsi="Arial" w:eastAsia="Arial"/>
          <w:sz w:val="20"/>
        </w:rPr>
        <w:t>Governance artifacts to keep available but not always live: archival master, manifest, migration ledger, archive audit, changelog.</w:t>
      </w:r>
    </w:p>
    <w:p>
      <w:pPr>
        <w:pStyle w:val="ListBullet"/>
        <w:spacing w:after="40"/>
      </w:pPr>
      <w:r>
        <w:rPr>
          <w:rFonts w:ascii="Arial" w:hAnsi="Arial" w:eastAsia="Arial"/>
          <w:sz w:val="20"/>
        </w:rPr>
        <w:t>Avoid uploading original legacy sources, working compendia, and archival master all at once unless there is a specific reason to do so.</w:t>
      </w:r>
    </w:p>
    <w:p>
      <w:pPr>
        <w:pStyle w:val="ListBullet"/>
        <w:spacing w:after="40"/>
      </w:pPr>
      <w:r>
        <w:rPr>
          <w:rFonts w:ascii="Arial" w:hAnsi="Arial" w:eastAsia="Arial"/>
          <w:sz w:val="20"/>
        </w:rPr>
        <w:t>Any thread result that only exists in memory or chat output is not fully landed until it has a stable source-page home. [LOCKED]</w:t>
      </w:r>
    </w:p>
    <w:p>
      <w:pPr>
        <w:pStyle w:val="PWHeading1"/>
      </w:pPr>
      <w:r>
        <w:t>3. HIGHEST-VALUE LEGACY-PDF CORRECTIONS</w:t>
      </w:r>
    </w:p>
    <w:p>
      <w:pPr>
        <w:pStyle w:val="PWHeading2"/>
      </w:pPr>
      <w:r>
        <w:t>Timeline corrections</w:t>
      </w:r>
    </w:p>
    <w:p>
      <w:pPr>
        <w:pStyle w:val="ListBullet"/>
        <w:spacing w:after="40"/>
      </w:pPr>
      <w:r>
        <w:rPr>
          <w:rFonts w:ascii="Arial" w:hAnsi="Arial" w:eastAsia="Arial"/>
          <w:sz w:val="20"/>
        </w:rPr>
        <w:t>PANDORA attacks are canonically Thursday, September 7, 2028, not September 3. [SUPERSEDED]</w:t>
      </w:r>
    </w:p>
    <w:p>
      <w:pPr>
        <w:pStyle w:val="ListBullet"/>
        <w:spacing w:after="40"/>
      </w:pPr>
      <w:r>
        <w:rPr>
          <w:rFonts w:ascii="Arial" w:hAnsi="Arial" w:eastAsia="Arial"/>
          <w:sz w:val="20"/>
        </w:rPr>
        <w:t>The U.S. presidential election is canonically Tuesday, November 7, 2028, not November 3. [SUPERSEDED]</w:t>
      </w:r>
    </w:p>
    <w:p>
      <w:pPr>
        <w:pStyle w:val="ListBullet"/>
        <w:spacing w:after="40"/>
      </w:pPr>
      <w:r>
        <w:rPr>
          <w:rFonts w:ascii="Arial" w:hAnsi="Arial" w:eastAsia="Arial"/>
          <w:sz w:val="20"/>
        </w:rPr>
        <w:t>Hudson Overlook occurs on the same day as the PANDORA attacks. [LOCKED]</w:t>
      </w:r>
    </w:p>
    <w:p>
      <w:pPr>
        <w:pStyle w:val="PWHeading2"/>
      </w:pPr>
      <w:r>
        <w:t>Naming and title corrections</w:t>
      </w:r>
    </w:p>
    <w:p>
      <w:pPr>
        <w:pStyle w:val="ListBullet"/>
        <w:spacing w:after="40"/>
      </w:pPr>
      <w:r>
        <w:rPr>
          <w:rFonts w:ascii="Arial" w:hAnsi="Arial" w:eastAsia="Arial"/>
          <w:sz w:val="20"/>
        </w:rPr>
        <w:t>Ducky’s Game 2 campaign title is Persistent Threat. AEGIS Falls is retired as the campaign title. [SUPERSEDED]</w:t>
      </w:r>
    </w:p>
    <w:p>
      <w:pPr>
        <w:pStyle w:val="ListBullet"/>
        <w:spacing w:after="40"/>
      </w:pPr>
      <w:r>
        <w:rPr>
          <w:rFonts w:ascii="Arial" w:hAnsi="Arial" w:eastAsia="Arial"/>
          <w:sz w:val="20"/>
        </w:rPr>
        <w:t>Trevor “Spook” Gartner is the canonical surname spelling, and current project-facing material should not style him as Captain. Treat him as a senior CIA paramilitary officer. [SUPERSEDED]</w:t>
      </w:r>
    </w:p>
    <w:p>
      <w:pPr>
        <w:pStyle w:val="ListBullet"/>
        <w:spacing w:after="40"/>
      </w:pPr>
      <w:r>
        <w:rPr>
          <w:rFonts w:ascii="Arial" w:hAnsi="Arial" w:eastAsia="Arial"/>
          <w:sz w:val="20"/>
        </w:rPr>
        <w:t>Svalbard replaces the older Faroe-Islands wording for the main AEGIS datacenter anchor. [SUPERSEDED]</w:t>
      </w:r>
    </w:p>
    <w:p>
      <w:pPr>
        <w:pStyle w:val="PWHeading2"/>
      </w:pPr>
      <w:r>
        <w:t>World and system corrections</w:t>
      </w:r>
    </w:p>
    <w:p>
      <w:pPr>
        <w:pStyle w:val="ListBullet"/>
        <w:spacing w:after="40"/>
      </w:pPr>
      <w:r>
        <w:rPr>
          <w:rFonts w:ascii="Arial" w:hAnsi="Arial" w:eastAsia="Arial"/>
          <w:sz w:val="20"/>
        </w:rPr>
        <w:t>China is not the original architect of PANDORA / Riptide Red. It reads the conspiracy correctly, stays silent, exploits the opening, and moves opportunistically. [SUPERSEDED]</w:t>
      </w:r>
    </w:p>
    <w:p>
      <w:pPr>
        <w:pStyle w:val="ListBullet"/>
        <w:spacing w:after="40"/>
      </w:pPr>
      <w:r>
        <w:rPr>
          <w:rFonts w:ascii="Arial" w:hAnsi="Arial" w:eastAsia="Arial"/>
          <w:sz w:val="20"/>
        </w:rPr>
        <w:t>CogniConnect is the broader implant architecture. CFIM is a specialized War Wolves-only counter-forensic add-on, not a universal implant behavior. [SUPERSEDED]</w:t>
      </w:r>
    </w:p>
    <w:p>
      <w:pPr>
        <w:pStyle w:val="ListBullet"/>
        <w:spacing w:after="40"/>
      </w:pPr>
      <w:r>
        <w:rPr>
          <w:rFonts w:ascii="Arial" w:hAnsi="Arial" w:eastAsia="Arial"/>
          <w:sz w:val="20"/>
        </w:rPr>
        <w:t>The black market / underground procurement mechanic is one shared system with campaign-specific shells, not three unrelated systems. [LOCKED]</w:t>
      </w:r>
    </w:p>
    <w:p>
      <w:pPr>
        <w:pStyle w:val="PWHeading1"/>
      </w:pPr>
      <w:r>
        <w:t>4. GAME 1 LOCKED BASELINE</w:t>
      </w:r>
    </w:p>
    <w:p>
      <w:pPr>
        <w:pStyle w:val="PWHeading2"/>
      </w:pPr>
      <w:r>
        <w:t>Romeo — Game 1</w:t>
      </w:r>
    </w:p>
    <w:p>
      <w:pPr>
        <w:spacing w:after="100"/>
      </w:pPr>
      <w:r>
        <w:t>Romeo remains the West Coast/European-theater Ranger perspective: eastern Poland collapse, escape to Germany, geospatial-site protection alongside AEGIS, Brittany/Île Longue, submarine return to California, Los Angeles push, Signal Hill, convoy south, and Battle of Coronado. André Bridges remains the key Marine counterpart seeded through Signal Hill and the Coronado branch. [LOCKED]</w:t>
      </w:r>
    </w:p>
    <w:p>
      <w:pPr>
        <w:pStyle w:val="ListBullet"/>
        <w:spacing w:after="40"/>
      </w:pPr>
      <w:r>
        <w:rPr>
          <w:rFonts w:ascii="Arial" w:hAnsi="Arial" w:eastAsia="Arial"/>
          <w:sz w:val="20"/>
        </w:rPr>
        <w:t>Down Rodeo remains a load-bearing Los Angeles mission, including the Los Sietes / DPRK encounter space and the CMMG Mk47 rare-weapon beat. [LOCKED]</w:t>
      </w:r>
    </w:p>
    <w:p>
      <w:pPr>
        <w:pStyle w:val="ListBullet"/>
        <w:spacing w:after="40"/>
      </w:pPr>
      <w:r>
        <w:rPr>
          <w:rFonts w:ascii="Arial" w:hAnsi="Arial" w:eastAsia="Arial"/>
          <w:sz w:val="20"/>
        </w:rPr>
        <w:t>Signal Hill remains a doctrinal-friction scene between Romeo and André, with both viewpoints carrying real validity. [LOCKED]</w:t>
      </w:r>
    </w:p>
    <w:p>
      <w:pPr>
        <w:pStyle w:val="PWHeading2"/>
      </w:pPr>
      <w:r>
        <w:t>Ducky — Game 1</w:t>
      </w:r>
    </w:p>
    <w:p>
      <w:pPr>
        <w:spacing w:after="100"/>
      </w:pPr>
      <w:r>
        <w:t>Ducky remains the AEGIS perspective: Wirecutter and the broader defense of Europe’s surviving strategic sightlines. The campaign’s political soul is collective will under pressure, and AEGIS should continue to feel like a European answer to fracture rather than a generic NATO operators-only fantasy. [LOCKED]</w:t>
      </w:r>
    </w:p>
    <w:p>
      <w:pPr>
        <w:pStyle w:val="ListBullet"/>
        <w:spacing w:after="40"/>
      </w:pPr>
      <w:r>
        <w:rPr>
          <w:rFonts w:ascii="Arial" w:hAnsi="Arial" w:eastAsia="Arial"/>
          <w:sz w:val="20"/>
        </w:rPr>
        <w:t>Wirecutter remains the baseline Nereid Black / Sea Lion 7 mission. The Vympel staging anomaly remains a deliberate seed. [LOCKED]</w:t>
      </w:r>
    </w:p>
    <w:p>
      <w:pPr>
        <w:pStyle w:val="ListBullet"/>
        <w:spacing w:after="40"/>
      </w:pPr>
      <w:r>
        <w:rPr>
          <w:rFonts w:ascii="Arial" w:hAnsi="Arial" w:eastAsia="Arial"/>
          <w:sz w:val="20"/>
        </w:rPr>
        <w:t>The final Rotterdam / Maasvlakte mission remains load-bearing, including Ducky’s protected Severomorsk line. [LOCKED]</w:t>
      </w:r>
    </w:p>
    <w:p>
      <w:pPr>
        <w:pStyle w:val="PWHeading2"/>
      </w:pPr>
      <w:r>
        <w:t>Spook — Game 1</w:t>
      </w:r>
    </w:p>
    <w:p>
      <w:pPr>
        <w:spacing w:after="100"/>
      </w:pPr>
      <w:r>
        <w:t>Spook remains the conspiracy/intelligence perspective through Amsterdam, Vienna, Frankfurt, Abu Dhabi, Medan, Miami, Montoya Farm, the floatplane approach, and East McFarlane Island. The East McFarlane stand-down and rogue declaration remain the Game 1 cliff edge. [LOCKED]</w:t>
      </w:r>
    </w:p>
    <w:p>
      <w:pPr>
        <w:pStyle w:val="ListBullet"/>
        <w:spacing w:after="40"/>
      </w:pPr>
      <w:r>
        <w:rPr>
          <w:rFonts w:ascii="Arial" w:hAnsi="Arial" w:eastAsia="Arial"/>
          <w:sz w:val="20"/>
        </w:rPr>
        <w:t>Pandora’s Box remains the Miami Beach/Desautels node, with KYSC framed as a deliberate red-herring layer inside a trap architecture. [LOCKED]</w:t>
      </w:r>
    </w:p>
    <w:p>
      <w:pPr>
        <w:pStyle w:val="ListBullet"/>
        <w:spacing w:after="40"/>
      </w:pPr>
      <w:r>
        <w:rPr>
          <w:rFonts w:ascii="Arial" w:hAnsi="Arial" w:eastAsia="Arial"/>
          <w:sz w:val="20"/>
        </w:rPr>
        <w:t>Burning Daylight remains the Montoya Farm infiltration mission. [LOCKED]</w:t>
      </w:r>
    </w:p>
    <w:p>
      <w:pPr>
        <w:pStyle w:val="ListBullet"/>
        <w:spacing w:after="40"/>
      </w:pPr>
      <w:r>
        <w:rPr>
          <w:rFonts w:ascii="Arial" w:hAnsi="Arial" w:eastAsia="Arial"/>
          <w:sz w:val="20"/>
        </w:rPr>
        <w:t>Sins of Our Fathers remains the helipad confrontation and Goldberg line-bearing finale. [LOCKED]</w:t>
      </w:r>
    </w:p>
    <w:p>
      <w:pPr>
        <w:pStyle w:val="PWHeading1"/>
      </w:pPr>
      <w:r>
        <w:t>5. GAME 2 CURRENT ARCHITECTURE</w:t>
      </w:r>
    </w:p>
    <w:p>
      <w:pPr>
        <w:pStyle w:val="PWHeading2"/>
      </w:pPr>
      <w:r>
        <w:t>Romeo — American Freedom</w:t>
      </w:r>
    </w:p>
    <w:p>
      <w:pPr>
        <w:spacing w:after="100"/>
      </w:pPr>
      <w:r>
        <w:t>Romeo’s Game 2 campaign is the occupied-America / resistance-building campaign. Its canonical anchor track is “Good Morning, America,” and its teaser line is WAR HITS HOME. The campaign should increasingly read as a story of local resistance legitimacy, not simply of an outside hero arriving to lead everyone. [LOCKED]</w:t>
      </w:r>
    </w:p>
    <w:p>
      <w:pPr>
        <w:pStyle w:val="ListBullet"/>
        <w:spacing w:after="40"/>
      </w:pPr>
      <w:r>
        <w:rPr>
          <w:rFonts w:ascii="Arial" w:hAnsi="Arial" w:eastAsia="Arial"/>
          <w:sz w:val="20"/>
        </w:rPr>
        <w:t>The American Freedom Corps naming direction remains active, with Republic Shield, Breach Star, and Union Mark now split as distinct visual-identity layers. [LOCKED]</w:t>
      </w:r>
    </w:p>
    <w:p>
      <w:pPr>
        <w:pStyle w:val="ListBullet"/>
        <w:spacing w:after="40"/>
      </w:pPr>
      <w:r>
        <w:rPr>
          <w:rFonts w:ascii="Arial" w:hAnsi="Arial" w:eastAsia="Arial"/>
          <w:sz w:val="20"/>
        </w:rPr>
        <w:t>The civilian/public radio layer is now a real system asset: THE RIDGE, FIELDHOUSE, and HARBOR track social weather and civic pressure rather than serving as pure exposition. [LOCKED]</w:t>
      </w:r>
    </w:p>
    <w:p>
      <w:pPr>
        <w:pStyle w:val="PWHeading2"/>
      </w:pPr>
      <w:r>
        <w:t>Ducky — Persistent Threat</w:t>
      </w:r>
    </w:p>
    <w:p>
      <w:pPr>
        <w:spacing w:after="100"/>
      </w:pPr>
      <w:r>
        <w:t>Ducky’s Game 2 campaign title is Persistent Threat. Its anchor track is “Kyiv,” and its tagline is THE SYSTEM FELL. WE DIDN’T. Current direction emphasizes DAOG/AEGIS pressure, infrastructure truth, compromised institutions, and the moral burden of staying exact under systemic collapse. [LOCKED]</w:t>
      </w:r>
    </w:p>
    <w:p>
      <w:pPr>
        <w:pStyle w:val="ListBullet"/>
        <w:spacing w:after="40"/>
      </w:pPr>
      <w:r>
        <w:rPr>
          <w:rFonts w:ascii="Arial" w:hAnsi="Arial" w:eastAsia="Arial"/>
          <w:sz w:val="20"/>
        </w:rPr>
        <w:t>Mid-mission perspective shifts to Frost or Lupin remain scripted, diegetic, and tactically justified rather than player-on-demand. [LOCKED]</w:t>
      </w:r>
    </w:p>
    <w:p>
      <w:pPr>
        <w:pStyle w:val="ListBullet"/>
        <w:spacing w:after="40"/>
      </w:pPr>
      <w:r>
        <w:rPr>
          <w:rFonts w:ascii="Arial" w:hAnsi="Arial" w:eastAsia="Arial"/>
          <w:sz w:val="20"/>
        </w:rPr>
        <w:t>ARTEMIS and TYPHON are now separate fires assets with distinct placements, identities, and battlefield functions. [LOCKED]</w:t>
      </w:r>
    </w:p>
    <w:p>
      <w:pPr>
        <w:pStyle w:val="PWHeading2"/>
      </w:pPr>
      <w:r>
        <w:t>Spook — Godkiller</w:t>
      </w:r>
    </w:p>
    <w:p>
      <w:pPr>
        <w:spacing w:after="100"/>
      </w:pPr>
      <w:r>
        <w:t>Spook’s Game 2 campaign title is Godkiller. Its teaser tone-setter is “King Nothing,” and its tagline is YOU CAN’T KILL A DEAD MAN. The active direction emphasizes accountability, destabilization, covert logistics, and Budanova / La Avispa / resistance-interface pressure rather than a simple linear manhunt. [LOCKED]</w:t>
      </w:r>
    </w:p>
    <w:p>
      <w:pPr>
        <w:pStyle w:val="ListBullet"/>
        <w:spacing w:after="40"/>
      </w:pPr>
      <w:r>
        <w:rPr>
          <w:rFonts w:ascii="Arial" w:hAnsi="Arial" w:eastAsia="Arial"/>
          <w:sz w:val="20"/>
        </w:rPr>
        <w:t>The Wasp / La Avispa direction is now a sole-playable overlapping campaign using selective flashbacks rather than functioning mainly as a disconnected prequel. [LOCKED]</w:t>
      </w:r>
    </w:p>
    <w:p>
      <w:pPr>
        <w:pStyle w:val="ListBullet"/>
        <w:spacing w:after="40"/>
      </w:pPr>
      <w:r>
        <w:rPr>
          <w:rFonts w:ascii="Arial" w:hAnsi="Arial" w:eastAsia="Arial"/>
          <w:sz w:val="20"/>
        </w:rPr>
        <w:t>Spook / La Avispa should remain restrained and unresolved; the story forces separation before anything between them can be named. [LOCKED]</w:t>
      </w:r>
    </w:p>
    <w:p>
      <w:pPr>
        <w:pStyle w:val="PWHeading1"/>
      </w:pPr>
      <w:r>
        <w:t>6. GAME 3 CURRENT DIRECTION</w:t>
      </w:r>
    </w:p>
    <w:p>
      <w:pPr>
        <w:pStyle w:val="PWHeading2"/>
      </w:pPr>
      <w:r>
        <w:t>Romeo / Boston</w:t>
      </w:r>
    </w:p>
    <w:p>
      <w:pPr>
        <w:spacing w:after="100"/>
      </w:pPr>
      <w:r>
        <w:t>Romeo’s Game 3 direction is now materially more developed than this legacy PDF ever reflected. The current thesis is that Romeo arrives in Boston thinking he is helping free a city and discovers he is really fighting over what victory means and who gets to define America after liberation. The working title recommendation remains NO KINGS. [LOCKED]</w:t>
      </w:r>
    </w:p>
    <w:p>
      <w:pPr>
        <w:pStyle w:val="ListBullet"/>
        <w:spacing w:after="40"/>
      </w:pPr>
      <w:r>
        <w:rPr>
          <w:rFonts w:ascii="Arial" w:hAnsi="Arial" w:eastAsia="Arial"/>
          <w:sz w:val="20"/>
        </w:rPr>
        <w:t>Four-act spine: Eastbound War; Neighborhood War; Harbor and the Shadow Government; What Victory Is For. [LOCKED]</w:t>
      </w:r>
    </w:p>
    <w:p>
      <w:pPr>
        <w:pStyle w:val="ListBullet"/>
        <w:spacing w:after="40"/>
      </w:pPr>
      <w:r>
        <w:rPr>
          <w:rFonts w:ascii="Arial" w:hAnsi="Arial" w:eastAsia="Arial"/>
          <w:sz w:val="20"/>
        </w:rPr>
        <w:t>“Block by block” remains an internal progression phrase, not a literal territory-capture gimmick. [LOCKED]</w:t>
      </w:r>
    </w:p>
    <w:p>
      <w:pPr>
        <w:pStyle w:val="ListBullet"/>
        <w:spacing w:after="40"/>
      </w:pPr>
      <w:r>
        <w:rPr>
          <w:rFonts w:ascii="Arial" w:hAnsi="Arial" w:eastAsia="Arial"/>
          <w:sz w:val="20"/>
        </w:rPr>
        <w:t>British support should begin as covert competence and only later widen into meaningful CASEVAC/support capability. [LOCKED]</w:t>
      </w:r>
    </w:p>
    <w:p>
      <w:pPr>
        <w:pStyle w:val="ListBullet"/>
        <w:spacing w:after="40"/>
      </w:pPr>
      <w:r>
        <w:rPr>
          <w:rFonts w:ascii="Arial" w:hAnsi="Arial" w:eastAsia="Arial"/>
          <w:sz w:val="20"/>
        </w:rPr>
        <w:t>Elena Costa is the local armed center of gravity and recurring Boston mission-facing leader. [LOCKED]</w:t>
      </w:r>
    </w:p>
    <w:p>
      <w:pPr>
        <w:pStyle w:val="ListBullet"/>
        <w:spacing w:after="40"/>
      </w:pPr>
      <w:r>
        <w:rPr>
          <w:rFonts w:ascii="Arial" w:hAnsi="Arial" w:eastAsia="Arial"/>
          <w:sz w:val="20"/>
        </w:rPr>
        <w:t>Eamonn Kearney is the hidden armorer / sustainment node whose presence makes Boston’s liberation feel materially sustainable. [LOCKED]</w:t>
      </w:r>
    </w:p>
    <w:p>
      <w:pPr>
        <w:pStyle w:val="ListBullet"/>
        <w:spacing w:after="40"/>
      </w:pPr>
      <w:r>
        <w:rPr>
          <w:rFonts w:ascii="Arial" w:hAnsi="Arial" w:eastAsia="Arial"/>
          <w:sz w:val="20"/>
        </w:rPr>
        <w:t>THE RIGHT RIFLE is the handoff hinge where Romeo receives CIVIL DISOBEDIENCE, “Boston’s rifle,” from Kearney. [LOCKED]</w:t>
      </w:r>
    </w:p>
    <w:p>
      <w:pPr>
        <w:pStyle w:val="PWHeading2"/>
      </w:pPr>
      <w:r>
        <w:t>Ducky / Spook Game 3</w:t>
      </w:r>
    </w:p>
    <w:p>
      <w:pPr>
        <w:spacing w:after="100"/>
      </w:pPr>
      <w:r>
        <w:t>Broader Game 3 work outside Romeo exists, but compared with the Boston line it is still less consolidated at overview level. Where possible, keep Game 3 references for Ducky and Spook narrow, accurate, and tied to already-locked world/system outcomes instead of over-claiming false completeness. [DEVELOPMENT]</w:t>
      </w:r>
    </w:p>
    <w:p>
      <w:pPr>
        <w:pStyle w:val="PWHeading1"/>
      </w:pPr>
      <w:r>
        <w:t>7. WORLD, SYSTEM, AND STYLE LOCKS</w:t>
      </w:r>
    </w:p>
    <w:p>
      <w:pPr>
        <w:pStyle w:val="ListBullet"/>
        <w:spacing w:after="40"/>
      </w:pPr>
      <w:r>
        <w:rPr>
          <w:rFonts w:ascii="Arial" w:hAnsi="Arial" w:eastAsia="Arial"/>
          <w:sz w:val="20"/>
        </w:rPr>
        <w:t>Radio realism: use “say again” and “I say again”; reserve “repeat” for fire-support contexts only; avoid “over and out”; do not stack “roger” and “wilco.” [LOCKED]</w:t>
      </w:r>
    </w:p>
    <w:p>
      <w:pPr>
        <w:pStyle w:val="ListBullet"/>
        <w:spacing w:after="40"/>
      </w:pPr>
      <w:r>
        <w:rPr>
          <w:rFonts w:ascii="Arial" w:hAnsi="Arial" w:eastAsia="Arial"/>
          <w:sz w:val="20"/>
        </w:rPr>
        <w:t>Environmental music is world texture first, not a replacement for campaign anchor identity. Productive dissonance and restraint are preferred over literal lyric matching. [LOCKED]</w:t>
      </w:r>
    </w:p>
    <w:p>
      <w:pPr>
        <w:pStyle w:val="ListBullet"/>
        <w:spacing w:after="40"/>
      </w:pPr>
      <w:r>
        <w:rPr>
          <w:rFonts w:ascii="Arial" w:hAnsi="Arial" w:eastAsia="Arial"/>
          <w:sz w:val="20"/>
        </w:rPr>
        <w:t>Enemy chatter should primarily convey worldbuilding; friendly chatter should primarily convey character. [LOCKED]</w:t>
      </w:r>
    </w:p>
    <w:p>
      <w:pPr>
        <w:pStyle w:val="ListBullet"/>
        <w:spacing w:after="40"/>
      </w:pPr>
      <w:r>
        <w:rPr>
          <w:rFonts w:ascii="Arial" w:hAnsi="Arial" w:eastAsia="Arial"/>
          <w:sz w:val="20"/>
        </w:rPr>
        <w:t>Inter-coalition NATO/DAOG comms default to English as working language; enemy factions should use authentic native-language chatter where appropriate. [LOCKED]</w:t>
      </w:r>
    </w:p>
    <w:p>
      <w:pPr>
        <w:pStyle w:val="ListBullet"/>
        <w:spacing w:after="40"/>
      </w:pPr>
      <w:r>
        <w:rPr>
          <w:rFonts w:ascii="Arial" w:hAnsi="Arial" w:eastAsia="Arial"/>
          <w:sz w:val="20"/>
        </w:rPr>
        <w:t>SHIELD is DAOG’s hard-entry / sensitive-site exploitation / emergency recovery and denial squad, distinct from AEGIS and CORYS. [LOCKED]</w:t>
      </w:r>
    </w:p>
    <w:p>
      <w:pPr>
        <w:pStyle w:val="ListBullet"/>
        <w:spacing w:after="40"/>
      </w:pPr>
      <w:r>
        <w:rPr>
          <w:rFonts w:ascii="Arial" w:hAnsi="Arial" w:eastAsia="Arial"/>
          <w:sz w:val="20"/>
        </w:rPr>
        <w:t>COLD ROOM remains the template-grade SHIELD mission model. [LOCKED]</w:t>
      </w:r>
    </w:p>
    <w:p>
      <w:pPr>
        <w:pStyle w:val="ListBullet"/>
        <w:spacing w:after="40"/>
      </w:pPr>
      <w:r>
        <w:rPr>
          <w:rFonts w:ascii="Arial" w:hAnsi="Arial" w:eastAsia="Arial"/>
          <w:sz w:val="20"/>
        </w:rPr>
        <w:t>Canada is a functioning but strained NATO/AEGIS-aligned partner, not a blank space and not a U.S. appendage. [LOCKED]</w:t>
      </w:r>
    </w:p>
    <w:p>
      <w:pPr>
        <w:pStyle w:val="PWHeading1"/>
      </w:pPr>
      <w:r>
        <w:t>8. CHARACTER AND EQUIPMENT LOCKS WITH HIGH OVERVIEW VALUE</w:t>
      </w:r>
    </w:p>
    <w:p>
      <w:pPr>
        <w:pStyle w:val="ListBullet"/>
        <w:spacing w:after="40"/>
      </w:pPr>
      <w:r>
        <w:rPr>
          <w:rFonts w:ascii="Arial" w:hAnsi="Arial" w:eastAsia="Arial"/>
          <w:sz w:val="20"/>
        </w:rPr>
        <w:t>Pat Napier now fills the Romeo-cell medic role as the calm, dry, precise ex-enlisted 68W field stabilizer / sustainment specialist. [LOCKED]</w:t>
      </w:r>
    </w:p>
    <w:p>
      <w:pPr>
        <w:pStyle w:val="ListBullet"/>
        <w:spacing w:after="40"/>
      </w:pPr>
      <w:r>
        <w:rPr>
          <w:rFonts w:ascii="Arial" w:hAnsi="Arial" w:eastAsia="Arial"/>
          <w:sz w:val="20"/>
        </w:rPr>
        <w:t>Elena Costa’s signature rifle is BUILD 08 — HELL OR HIGH WATER. [LOCKED]</w:t>
      </w:r>
    </w:p>
    <w:p>
      <w:pPr>
        <w:pStyle w:val="ListBullet"/>
        <w:spacing w:after="40"/>
      </w:pPr>
      <w:r>
        <w:rPr>
          <w:rFonts w:ascii="Arial" w:hAnsi="Arial" w:eastAsia="Arial"/>
          <w:sz w:val="20"/>
        </w:rPr>
        <w:t>Kearney’s personal benchmark rifle is BUILD 10 — WORK ORDER; Romeo’s Boston signature rifle is BUILD 12 — CIVIL DISOBEDIENCE. [LOCKED]</w:t>
      </w:r>
    </w:p>
    <w:p>
      <w:pPr>
        <w:pStyle w:val="ListBullet"/>
        <w:spacing w:after="40"/>
      </w:pPr>
      <w:r>
        <w:rPr>
          <w:rFonts w:ascii="Arial" w:hAnsi="Arial" w:eastAsia="Arial"/>
          <w:sz w:val="20"/>
        </w:rPr>
        <w:t>Ducky now canonically carries a Gerber StrongArm in coyote brown with the factory coyote multi-mount polymer sheath. [LOCKED]</w:t>
      </w:r>
    </w:p>
    <w:p>
      <w:pPr>
        <w:pStyle w:val="ListBullet"/>
        <w:spacing w:after="40"/>
      </w:pPr>
      <w:r>
        <w:rPr>
          <w:rFonts w:ascii="Arial" w:hAnsi="Arial" w:eastAsia="Arial"/>
          <w:sz w:val="20"/>
        </w:rPr>
        <w:t>Spook’s personal-marking notes are now locked: restrained tattoos and a black Casio F-91W, shown sparingly rather than as costume flourish. [LOCKED]</w:t>
      </w:r>
    </w:p>
    <w:p>
      <w:pPr>
        <w:pStyle w:val="ListBullet"/>
        <w:spacing w:after="40"/>
      </w:pPr>
      <w:r>
        <w:rPr>
          <w:rFonts w:ascii="Arial" w:hAnsi="Arial" w:eastAsia="Arial"/>
          <w:sz w:val="20"/>
        </w:rPr>
        <w:t>Ducky’s characterization remains calm, exact, dry, methodical, and morally stubborn; care shows through competence rather than speeches. [LOCKED]</w:t>
      </w:r>
    </w:p>
    <w:p>
      <w:pPr>
        <w:pStyle w:val="ListBullet"/>
        <w:spacing w:after="40"/>
      </w:pPr>
      <w:r>
        <w:rPr>
          <w:rFonts w:ascii="Arial" w:hAnsi="Arial" w:eastAsia="Arial"/>
          <w:sz w:val="20"/>
        </w:rPr>
        <w:t>André Bridges remains the sole-playable protagonist direction for the Semper Fi West Coast DLC. [LOCKED]</w:t>
      </w:r>
    </w:p>
    <w:p>
      <w:pPr>
        <w:pStyle w:val="PWHeading1"/>
      </w:pPr>
      <w:r>
        <w:t>9. SELECTED MISSION / SCENE LOCKS</w:t>
      </w:r>
    </w:p>
    <w:p>
      <w:pPr>
        <w:pStyle w:val="ListBullet"/>
        <w:spacing w:after="40"/>
      </w:pPr>
      <w:r>
        <w:rPr>
          <w:rFonts w:ascii="Arial" w:hAnsi="Arial" w:eastAsia="Arial"/>
          <w:sz w:val="20"/>
        </w:rPr>
        <w:t>Cold Frontier now uses the lakeshore knife-dispatch continuity, not the older underwater rock-kill version. [SUPERSEDED]</w:t>
      </w:r>
    </w:p>
    <w:p>
      <w:pPr>
        <w:pStyle w:val="ListBullet"/>
        <w:spacing w:after="40"/>
      </w:pPr>
      <w:r>
        <w:rPr>
          <w:rFonts w:ascii="Arial" w:hAnsi="Arial" w:eastAsia="Arial"/>
          <w:sz w:val="20"/>
        </w:rPr>
        <w:t>The Yunnan / Laos border crossing should be an interactive low-input, no-combat observation sequence led by La Avispa, not a default full cinematic. [LOCKED]</w:t>
      </w:r>
    </w:p>
    <w:p>
      <w:pPr>
        <w:pStyle w:val="ListBullet"/>
        <w:spacing w:after="40"/>
      </w:pPr>
      <w:r>
        <w:rPr>
          <w:rFonts w:ascii="Arial" w:hAnsi="Arial" w:eastAsia="Arial"/>
          <w:sz w:val="20"/>
        </w:rPr>
        <w:t>ARTEMIS belongs in Dead Frequency; TYPHON belongs in Permafrost. [LOCKED]</w:t>
      </w:r>
    </w:p>
    <w:p>
      <w:pPr>
        <w:pStyle w:val="ListBullet"/>
        <w:spacing w:after="40"/>
      </w:pPr>
      <w:r>
        <w:rPr>
          <w:rFonts w:ascii="Arial" w:hAnsi="Arial" w:eastAsia="Arial"/>
          <w:sz w:val="20"/>
        </w:rPr>
        <w:t>BODYWORK’s improvised bulldozer now breaches as a weapon and is later reclaimed as infrastructure; the mounted gun is only a temporary end-of-fight expedient. [LOCKED]</w:t>
      </w:r>
    </w:p>
    <w:p>
      <w:pPr>
        <w:pStyle w:val="ListBullet"/>
        <w:spacing w:after="40"/>
      </w:pPr>
      <w:r>
        <w:rPr>
          <w:rFonts w:ascii="Arial" w:hAnsi="Arial" w:eastAsia="Arial"/>
          <w:sz w:val="20"/>
        </w:rPr>
        <w:t>The Red Dawn-style paratrooper drop remains a strong Romeo promotional/navigation beat but still needs final mission placement. [DEVELOPMENT]</w:t>
      </w:r>
    </w:p>
    <w:p>
      <w:pPr>
        <w:pStyle w:val="ListBullet"/>
        <w:spacing w:after="40"/>
      </w:pPr>
      <w:r>
        <w:rPr>
          <w:rFonts w:ascii="Arial" w:hAnsi="Arial" w:eastAsia="Arial"/>
          <w:sz w:val="20"/>
        </w:rPr>
        <w:t>The AC-130 Angel scene retains the protected line “American Freedom, over.” [LOCKED]</w:t>
      </w:r>
    </w:p>
    <w:p>
      <w:pPr>
        <w:pStyle w:val="PWHeading1"/>
      </w:pPr>
      <w:r>
        <w:t>10. OPEN GAPS AND LIVE FOLLOW-UPS</w:t>
      </w:r>
    </w:p>
    <w:p>
      <w:pPr>
        <w:spacing w:after="100"/>
      </w:pPr>
      <w:r>
        <w:t>This rebuilt overview is intentionally cleaner than the old PDF, but it should not pretend the project is fully resolved everywhere. The following items still deserve explicit tracking rather than being buried inside a catch-all summary:</w:t>
      </w:r>
    </w:p>
    <w:p>
      <w:pPr>
        <w:pStyle w:val="ListBullet"/>
        <w:spacing w:after="40"/>
      </w:pPr>
      <w:r>
        <w:rPr>
          <w:rFonts w:ascii="Arial" w:hAnsi="Arial" w:eastAsia="Arial"/>
          <w:sz w:val="20"/>
        </w:rPr>
        <w:t>Bakhmut visual prompt/reference packet — still worth reconciling as a dedicated repo-side source page. [GAP]</w:t>
      </w:r>
    </w:p>
    <w:p>
      <w:pPr>
        <w:pStyle w:val="ListBullet"/>
        <w:spacing w:after="40"/>
      </w:pPr>
      <w:r>
        <w:rPr>
          <w:rFonts w:ascii="Arial" w:hAnsi="Arial" w:eastAsia="Arial"/>
          <w:sz w:val="20"/>
        </w:rPr>
        <w:t>Trilogy slogan/style-guide page — broad logic is known, but the dedicated source page should still be retained if you have it externally. [GAP]</w:t>
      </w:r>
    </w:p>
    <w:p>
      <w:pPr>
        <w:pStyle w:val="ListBullet"/>
        <w:spacing w:after="40"/>
      </w:pPr>
      <w:r>
        <w:rPr>
          <w:rFonts w:ascii="Arial" w:hAnsi="Arial" w:eastAsia="Arial"/>
          <w:sz w:val="20"/>
        </w:rPr>
        <w:t>BODYWORK / Van Hult dedicated page — carry-forward exists, but the direct source page is still worth keeping live. [GAP]</w:t>
      </w:r>
    </w:p>
    <w:p>
      <w:pPr>
        <w:pStyle w:val="ListBullet"/>
        <w:spacing w:after="40"/>
      </w:pPr>
      <w:r>
        <w:rPr>
          <w:rFonts w:ascii="Arial" w:hAnsi="Arial" w:eastAsia="Arial"/>
          <w:sz w:val="20"/>
        </w:rPr>
        <w:t>Boston weapons packet — current canon is clear, but the dedicated unified source packet remains useful. [GAP]</w:t>
      </w:r>
    </w:p>
    <w:p>
      <w:pPr>
        <w:pStyle w:val="ListBullet"/>
        <w:spacing w:after="40"/>
      </w:pPr>
      <w:r>
        <w:rPr>
          <w:rFonts w:ascii="Arial" w:hAnsi="Arial" w:eastAsia="Arial"/>
          <w:sz w:val="20"/>
        </w:rPr>
        <w:t>Non-Romeo-region radio pilot station — active next-step work, not migration-complete material. [GAP]</w:t>
      </w:r>
    </w:p>
    <w:p>
      <w:pPr>
        <w:pStyle w:val="ListBullet"/>
        <w:spacing w:after="40"/>
      </w:pPr>
      <w:r>
        <w:rPr>
          <w:rFonts w:ascii="Arial" w:hAnsi="Arial" w:eastAsia="Arial"/>
          <w:sz w:val="20"/>
        </w:rPr>
        <w:t>South Africa viability workstream — still live and not safe to retire blind. [GAP]</w:t>
      </w:r>
    </w:p>
    <w:p>
      <w:pPr>
        <w:pStyle w:val="PWHeading1"/>
      </w:pPr>
      <w:r>
        <w:t>11. RECOMMENDED COMPANION FILES TO THIS OVERVIEW</w:t>
      </w:r>
    </w:p>
    <w:p>
      <w:pPr>
        <w:spacing w:after="100"/>
      </w:pPr>
      <w:r>
        <w:t>This overview now works best as a front-door orientation document, not as the sole source of truth. The six working compendia should remain the first stop for actual detailed development work. Keep this file concise enough to stay legible, and push detail back down into the proper domain files whenever possible. [LOCKED]</w:t>
      </w:r>
    </w:p>
    <w:p>
      <w:pPr>
        <w:pStyle w:val="ListBullet"/>
        <w:spacing w:after="40"/>
      </w:pPr>
      <w:r>
        <w:rPr>
          <w:rFonts w:ascii="Arial" w:hAnsi="Arial" w:eastAsia="Arial"/>
          <w:sz w:val="20"/>
        </w:rPr>
        <w:t>01 Core / Timeline — timing, anchors, architecture, sequence logic</w:t>
      </w:r>
    </w:p>
    <w:p>
      <w:pPr>
        <w:pStyle w:val="ListBullet"/>
        <w:spacing w:after="40"/>
      </w:pPr>
      <w:r>
        <w:rPr>
          <w:rFonts w:ascii="Arial" w:hAnsi="Arial" w:eastAsia="Arial"/>
          <w:sz w:val="20"/>
        </w:rPr>
        <w:t>02 Worldbuilding / Strategic Architecture — PANDORA, China posture, SHIELD, systems</w:t>
      </w:r>
    </w:p>
    <w:p>
      <w:pPr>
        <w:pStyle w:val="ListBullet"/>
        <w:spacing w:after="40"/>
      </w:pPr>
      <w:r>
        <w:rPr>
          <w:rFonts w:ascii="Arial" w:hAnsi="Arial" w:eastAsia="Arial"/>
          <w:sz w:val="20"/>
        </w:rPr>
        <w:t>03 Characters / DLC — character profiles, DLC directions, Boston/La Avispa/Pat/André</w:t>
      </w:r>
    </w:p>
    <w:p>
      <w:pPr>
        <w:pStyle w:val="ListBullet"/>
        <w:spacing w:after="40"/>
      </w:pPr>
      <w:r>
        <w:rPr>
          <w:rFonts w:ascii="Arial" w:hAnsi="Arial" w:eastAsia="Arial"/>
          <w:sz w:val="20"/>
        </w:rPr>
        <w:t>04 Gameplay / Weapons / Style — named builds, comms standard, transitions, knives</w:t>
      </w:r>
    </w:p>
    <w:p>
      <w:pPr>
        <w:pStyle w:val="ListBullet"/>
        <w:spacing w:after="40"/>
      </w:pPr>
      <w:r>
        <w:rPr>
          <w:rFonts w:ascii="Arial" w:hAnsi="Arial" w:eastAsia="Arial"/>
          <w:sz w:val="20"/>
        </w:rPr>
        <w:t>05 Missions / Scenes / Cinematics — scenes, placements, BODYWORK, Yunnan, Angel</w:t>
      </w:r>
    </w:p>
    <w:p>
      <w:pPr>
        <w:pStyle w:val="ListBullet"/>
        <w:spacing w:after="40"/>
      </w:pPr>
      <w:r>
        <w:rPr>
          <w:rFonts w:ascii="Arial" w:hAnsi="Arial" w:eastAsia="Arial"/>
          <w:sz w:val="20"/>
        </w:rPr>
        <w:t>06 Promotional / Sidebar Development — teaser tracks, audio identity, promo structure</w:t>
      </w:r>
    </w:p>
    <w:p>
      <w:pPr>
        <w:pStyle w:val="PWHeading1"/>
      </w:pPr>
      <w:r>
        <w:t>APPENDIX A — GOVERNANCE HEADER TEMPLATE</w:t>
      </w:r>
    </w:p>
    <w:p>
      <w:pPr>
        <w:spacing w:after="100"/>
      </w:pPr>
      <w:r>
        <w:t>Use the following lightweight header at the top of active source pages. Keep it small, stable, and easy to update:</w:t>
      </w:r>
    </w:p>
    <w:tbl>
      <w:tblPr>
        <w:tblW w:type="auto" w:w="0"/>
        <w:jc w:val="center"/>
        <w:tblLayout w:type="fixed"/>
        <w:tblLook w:firstColumn="1" w:firstRow="1" w:lastColumn="0" w:lastRow="0" w:noHBand="0" w:noVBand="1" w:val="04A0"/>
      </w:tblPr>
      <w:tblGrid>
        <w:gridCol w:w="2592"/>
        <w:gridCol w:w="7344"/>
      </w:tblGrid>
      <w:tr>
        <w:tc>
          <w:tcPr>
            <w:tcW w:type="dxa" w:w="4752"/>
            <w:vAlign w:val="center"/>
            <w:shd w:fill="E8EEF7"/>
            <w:tcBorders>
              <w:left w:val="single" w:sz="6" w:color="C7D2E3"/>
              <w:top w:val="single" w:sz="6" w:color="C7D2E3"/>
              <w:right w:val="single" w:sz="6" w:color="C7D2E3"/>
              <w:bottom w:val="single" w:sz="6" w:color="C7D2E3"/>
            </w:tcBorders>
          </w:tcPr>
          <w:p>
            <w:r>
              <w:t>Document ID</w:t>
            </w:r>
          </w:p>
        </w:tc>
        <w:tc>
          <w:tcPr>
            <w:tcW w:type="dxa" w:w="4752"/>
            <w:vAlign w:val="center"/>
            <w:shd w:fill="FAFBFD"/>
            <w:tcBorders>
              <w:left w:val="single" w:sz="6" w:color="C7D2E3"/>
              <w:top w:val="single" w:sz="6" w:color="C7D2E3"/>
              <w:right w:val="single" w:sz="6" w:color="C7D2E3"/>
              <w:bottom w:val="single" w:sz="6" w:color="C7D2E3"/>
            </w:tcBorders>
          </w:tcPr>
          <w:p>
            <w:r>
              <w:t>PW-XXX-000</w:t>
            </w:r>
          </w:p>
        </w:tc>
      </w:tr>
      <w:tr>
        <w:tc>
          <w:tcPr>
            <w:tcW w:type="dxa" w:w="4752"/>
            <w:vAlign w:val="center"/>
            <w:shd w:fill="E8EEF7"/>
            <w:tcBorders>
              <w:left w:val="single" w:sz="6" w:color="C7D2E3"/>
              <w:top w:val="single" w:sz="6" w:color="C7D2E3"/>
              <w:right w:val="single" w:sz="6" w:color="C7D2E3"/>
              <w:bottom w:val="single" w:sz="6" w:color="C7D2E3"/>
            </w:tcBorders>
          </w:tcPr>
          <w:p>
            <w:r>
              <w:t>Domain</w:t>
            </w:r>
          </w:p>
        </w:tc>
        <w:tc>
          <w:tcPr>
            <w:tcW w:type="dxa" w:w="4752"/>
            <w:vAlign w:val="center"/>
            <w:shd w:fill="FAFBFD"/>
            <w:tcBorders>
              <w:left w:val="single" w:sz="6" w:color="C7D2E3"/>
              <w:top w:val="single" w:sz="6" w:color="C7D2E3"/>
              <w:right w:val="single" w:sz="6" w:color="C7D2E3"/>
              <w:bottom w:val="single" w:sz="6" w:color="C7D2E3"/>
            </w:tcBorders>
          </w:tcPr>
          <w:p>
            <w:r>
              <w:t>e.g. 03 Characters / DLC</w:t>
            </w:r>
          </w:p>
        </w:tc>
      </w:tr>
      <w:tr>
        <w:tc>
          <w:tcPr>
            <w:tcW w:type="dxa" w:w="4752"/>
            <w:vAlign w:val="center"/>
            <w:shd w:fill="E8EEF7"/>
            <w:tcBorders>
              <w:left w:val="single" w:sz="6" w:color="C7D2E3"/>
              <w:top w:val="single" w:sz="6" w:color="C7D2E3"/>
              <w:right w:val="single" w:sz="6" w:color="C7D2E3"/>
              <w:bottom w:val="single" w:sz="6" w:color="C7D2E3"/>
            </w:tcBorders>
          </w:tcPr>
          <w:p>
            <w:r>
              <w:t>Status</w:t>
            </w:r>
          </w:p>
        </w:tc>
        <w:tc>
          <w:tcPr>
            <w:tcW w:type="dxa" w:w="4752"/>
            <w:vAlign w:val="center"/>
            <w:shd w:fill="FAFBFD"/>
            <w:tcBorders>
              <w:left w:val="single" w:sz="6" w:color="C7D2E3"/>
              <w:top w:val="single" w:sz="6" w:color="C7D2E3"/>
              <w:right w:val="single" w:sz="6" w:color="C7D2E3"/>
              <w:bottom w:val="single" w:sz="6" w:color="C7D2E3"/>
            </w:tcBorders>
          </w:tcPr>
          <w:p>
            <w:r>
              <w:t>Active / Locked / Development / Archived</w:t>
            </w:r>
          </w:p>
        </w:tc>
      </w:tr>
      <w:tr>
        <w:tc>
          <w:tcPr>
            <w:tcW w:type="dxa" w:w="4752"/>
            <w:vAlign w:val="center"/>
            <w:shd w:fill="E8EEF7"/>
            <w:tcBorders>
              <w:left w:val="single" w:sz="6" w:color="C7D2E3"/>
              <w:top w:val="single" w:sz="6" w:color="C7D2E3"/>
              <w:right w:val="single" w:sz="6" w:color="C7D2E3"/>
              <w:bottom w:val="single" w:sz="6" w:color="C7D2E3"/>
            </w:tcBorders>
          </w:tcPr>
          <w:p>
            <w:r>
              <w:t>Canon state</w:t>
            </w:r>
          </w:p>
        </w:tc>
        <w:tc>
          <w:tcPr>
            <w:tcW w:type="dxa" w:w="4752"/>
            <w:vAlign w:val="center"/>
            <w:shd w:fill="FAFBFD"/>
            <w:tcBorders>
              <w:left w:val="single" w:sz="6" w:color="C7D2E3"/>
              <w:top w:val="single" w:sz="6" w:color="C7D2E3"/>
              <w:right w:val="single" w:sz="6" w:color="C7D2E3"/>
              <w:bottom w:val="single" w:sz="6" w:color="C7D2E3"/>
            </w:tcBorders>
          </w:tcPr>
          <w:p>
            <w:r>
              <w:t>Locked canon / Mixed / Reference only</w:t>
            </w:r>
          </w:p>
        </w:tc>
      </w:tr>
      <w:tr>
        <w:tc>
          <w:tcPr>
            <w:tcW w:type="dxa" w:w="4752"/>
            <w:vAlign w:val="center"/>
            <w:shd w:fill="E8EEF7"/>
            <w:tcBorders>
              <w:left w:val="single" w:sz="6" w:color="C7D2E3"/>
              <w:top w:val="single" w:sz="6" w:color="C7D2E3"/>
              <w:right w:val="single" w:sz="6" w:color="C7D2E3"/>
              <w:bottom w:val="single" w:sz="6" w:color="C7D2E3"/>
            </w:tcBorders>
          </w:tcPr>
          <w:p>
            <w:r>
              <w:t>Last updated</w:t>
            </w:r>
          </w:p>
        </w:tc>
        <w:tc>
          <w:tcPr>
            <w:tcW w:type="dxa" w:w="4752"/>
            <w:vAlign w:val="center"/>
            <w:shd w:fill="FAFBFD"/>
            <w:tcBorders>
              <w:left w:val="single" w:sz="6" w:color="C7D2E3"/>
              <w:top w:val="single" w:sz="6" w:color="C7D2E3"/>
              <w:right w:val="single" w:sz="6" w:color="C7D2E3"/>
              <w:bottom w:val="single" w:sz="6" w:color="C7D2E3"/>
            </w:tcBorders>
          </w:tcPr>
          <w:p>
            <w:r>
              <w:t>YYYY-MM-DD</w:t>
            </w:r>
          </w:p>
        </w:tc>
      </w:tr>
      <w:tr>
        <w:tc>
          <w:tcPr>
            <w:tcW w:type="dxa" w:w="4752"/>
            <w:vAlign w:val="center"/>
            <w:shd w:fill="E8EEF7"/>
            <w:tcBorders>
              <w:left w:val="single" w:sz="6" w:color="C7D2E3"/>
              <w:top w:val="single" w:sz="6" w:color="C7D2E3"/>
              <w:right w:val="single" w:sz="6" w:color="C7D2E3"/>
              <w:bottom w:val="single" w:sz="6" w:color="C7D2E3"/>
            </w:tcBorders>
          </w:tcPr>
          <w:p>
            <w:r>
              <w:t>Source type</w:t>
            </w:r>
          </w:p>
        </w:tc>
        <w:tc>
          <w:tcPr>
            <w:tcW w:type="dxa" w:w="4752"/>
            <w:vAlign w:val="center"/>
            <w:shd w:fill="FAFBFD"/>
            <w:tcBorders>
              <w:left w:val="single" w:sz="6" w:color="C7D2E3"/>
              <w:top w:val="single" w:sz="6" w:color="C7D2E3"/>
              <w:right w:val="single" w:sz="6" w:color="C7D2E3"/>
              <w:bottom w:val="single" w:sz="6" w:color="C7D2E3"/>
            </w:tcBorders>
          </w:tcPr>
          <w:p>
            <w:r>
              <w:t>Primary / Derived / Archival</w:t>
            </w:r>
          </w:p>
        </w:tc>
      </w:tr>
      <w:tr>
        <w:tc>
          <w:tcPr>
            <w:tcW w:type="dxa" w:w="4752"/>
            <w:vAlign w:val="center"/>
            <w:shd w:fill="E8EEF7"/>
            <w:tcBorders>
              <w:left w:val="single" w:sz="6" w:color="C7D2E3"/>
              <w:top w:val="single" w:sz="6" w:color="C7D2E3"/>
              <w:right w:val="single" w:sz="6" w:color="C7D2E3"/>
              <w:bottom w:val="single" w:sz="6" w:color="C7D2E3"/>
            </w:tcBorders>
          </w:tcPr>
          <w:p>
            <w:r>
              <w:t>Supersedes</w:t>
            </w:r>
          </w:p>
        </w:tc>
        <w:tc>
          <w:tcPr>
            <w:tcW w:type="dxa" w:w="4752"/>
            <w:vAlign w:val="center"/>
            <w:shd w:fill="FAFBFD"/>
            <w:tcBorders>
              <w:left w:val="single" w:sz="6" w:color="C7D2E3"/>
              <w:top w:val="single" w:sz="6" w:color="C7D2E3"/>
              <w:right w:val="single" w:sz="6" w:color="C7D2E3"/>
              <w:bottom w:val="single" w:sz="6" w:color="C7D2E3"/>
            </w:tcBorders>
          </w:tcPr>
          <w:p>
            <w:r>
              <w:t>filename or doc ID</w:t>
            </w:r>
          </w:p>
        </w:tc>
      </w:tr>
      <w:tr>
        <w:tc>
          <w:tcPr>
            <w:tcW w:type="dxa" w:w="4752"/>
            <w:vAlign w:val="center"/>
            <w:shd w:fill="E8EEF7"/>
            <w:tcBorders>
              <w:left w:val="single" w:sz="6" w:color="C7D2E3"/>
              <w:top w:val="single" w:sz="6" w:color="C7D2E3"/>
              <w:right w:val="single" w:sz="6" w:color="C7D2E3"/>
              <w:bottom w:val="single" w:sz="6" w:color="C7D2E3"/>
            </w:tcBorders>
          </w:tcPr>
          <w:p>
            <w:r>
              <w:t>Superseded by</w:t>
            </w:r>
          </w:p>
        </w:tc>
        <w:tc>
          <w:tcPr>
            <w:tcW w:type="dxa" w:w="4752"/>
            <w:vAlign w:val="center"/>
            <w:shd w:fill="FAFBFD"/>
            <w:tcBorders>
              <w:left w:val="single" w:sz="6" w:color="C7D2E3"/>
              <w:top w:val="single" w:sz="6" w:color="C7D2E3"/>
              <w:right w:val="single" w:sz="6" w:color="C7D2E3"/>
              <w:bottom w:val="single" w:sz="6" w:color="C7D2E3"/>
            </w:tcBorders>
          </w:tcPr>
          <w:p>
            <w:r>
              <w:t>filename or doc ID</w:t>
            </w:r>
          </w:p>
        </w:tc>
      </w:tr>
      <w:tr>
        <w:tc>
          <w:tcPr>
            <w:tcW w:type="dxa" w:w="4752"/>
            <w:vAlign w:val="center"/>
            <w:shd w:fill="E8EEF7"/>
            <w:tcBorders>
              <w:left w:val="single" w:sz="6" w:color="C7D2E3"/>
              <w:top w:val="single" w:sz="6" w:color="C7D2E3"/>
              <w:right w:val="single" w:sz="6" w:color="C7D2E3"/>
              <w:bottom w:val="single" w:sz="6" w:color="C7D2E3"/>
            </w:tcBorders>
          </w:tcPr>
          <w:p>
            <w:r>
              <w:t>Related files</w:t>
            </w:r>
          </w:p>
        </w:tc>
        <w:tc>
          <w:tcPr>
            <w:tcW w:type="dxa" w:w="4752"/>
            <w:vAlign w:val="center"/>
            <w:shd w:fill="FAFBFD"/>
            <w:tcBorders>
              <w:left w:val="single" w:sz="6" w:color="C7D2E3"/>
              <w:top w:val="single" w:sz="6" w:color="C7D2E3"/>
              <w:right w:val="single" w:sz="6" w:color="C7D2E3"/>
              <w:bottom w:val="single" w:sz="6" w:color="C7D2E3"/>
            </w:tcBorders>
          </w:tcPr>
          <w:p>
            <w:r>
              <w:t>list of nearby source pages or compendia</w:t>
            </w:r>
          </w:p>
        </w:tc>
      </w:tr>
    </w:tbl>
    <w:p>
      <w:pPr>
        <w:spacing w:after="100"/>
      </w:pPr>
      <w:r>
        <w:t>Practical rule: source first, compendium second, archival master at milestones.</w:t>
      </w:r>
    </w:p>
    <w:sectPr>
      <w:pgSz w:w="12240" w:h="15840"/>
      <w:pgMar w:top="1080" w:right="1368" w:bottom="100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WTitle">
    <w:name w:val="PW Title"/>
    <w:basedOn w:val="Normal"/>
    <w:pPr>
      <w:spacing w:after="80"/>
    </w:pPr>
    <w:rPr>
      <w:rFonts w:ascii="Arial" w:hAnsi="Arial" w:eastAsia="Arial"/>
      <w:b/>
      <w:color w:val="1C2738"/>
      <w:sz w:val="44"/>
    </w:rPr>
  </w:style>
  <w:style w:type="paragraph" w:customStyle="1" w:styleId="PWSubtitle">
    <w:name w:val="PW Subtitle"/>
    <w:basedOn w:val="Normal"/>
    <w:pPr>
      <w:spacing w:after="240"/>
    </w:pPr>
    <w:rPr>
      <w:rFonts w:ascii="Arial" w:hAnsi="Arial" w:eastAsia="Arial"/>
      <w:i/>
      <w:color w:val="5A626E"/>
      <w:sz w:val="23"/>
    </w:rPr>
  </w:style>
  <w:style w:type="paragraph" w:customStyle="1" w:styleId="PWHeading1">
    <w:name w:val="PW Heading 1"/>
    <w:basedOn w:val="Normal"/>
    <w:pPr>
      <w:keepNext/>
      <w:spacing w:before="280" w:after="120"/>
    </w:pPr>
    <w:rPr>
      <w:rFonts w:ascii="Arial" w:hAnsi="Arial" w:eastAsia="Arial"/>
      <w:b/>
      <w:color w:val="1E3457"/>
      <w:sz w:val="28"/>
    </w:rPr>
  </w:style>
  <w:style w:type="paragraph" w:customStyle="1" w:styleId="PWHeading2">
    <w:name w:val="PW Heading 2"/>
    <w:basedOn w:val="Normal"/>
    <w:pPr>
      <w:keepNext/>
      <w:spacing w:before="180" w:after="60"/>
    </w:pPr>
    <w:rPr>
      <w:rFonts w:ascii="Arial" w:hAnsi="Arial" w:eastAsia="Arial"/>
      <w:b/>
      <w:color w:val="2D3F5E"/>
      <w:sz w:val="23"/>
    </w:rPr>
  </w:style>
  <w:style w:type="paragraph" w:customStyle="1" w:styleId="PWSmall">
    <w:name w:val="PW Small"/>
    <w:basedOn w:val="Normal"/>
    <w:pPr>
      <w:spacing w:after="60"/>
    </w:pPr>
    <w:rPr>
      <w:rFonts w:ascii="Arial" w:hAnsi="Arial" w:eastAsia="Arial"/>
      <w:color w:val="505050"/>
      <w:sz w:val="18"/>
    </w:rPr>
  </w:style>
  <w:style w:type="paragraph" w:customStyle="1" w:styleId="PWBullet">
    <w:name w:val="PW Bullet"/>
    <w:basedOn w:val="Normal"/>
    <w:pPr>
      <w:spacing w:after="40"/>
      <w:ind w:left="288"/>
    </w:pPr>
    <w:rPr>
      <w:rFonts w:ascii="Arial" w:hAnsi="Arial" w:eastAsia="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