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3F37C" w14:textId="77777777" w:rsidR="00115918" w:rsidRDefault="00115918"/>
    <w:p w14:paraId="52309A63" w14:textId="77777777" w:rsidR="00115918" w:rsidRDefault="00115918"/>
    <w:p w14:paraId="2D9FA69A" w14:textId="77777777" w:rsidR="00115918" w:rsidRDefault="00000000">
      <w:r>
        <w:rPr>
          <w:noProof/>
        </w:rPr>
        <w:drawing>
          <wp:anchor distT="0" distB="0" distL="114300" distR="114300" simplePos="0" relativeHeight="251665408" behindDoc="0" locked="0" layoutInCell="1" allowOverlap="1" wp14:anchorId="4FC95499" wp14:editId="79BF55C2">
            <wp:simplePos x="0" y="0"/>
            <wp:positionH relativeFrom="margin">
              <wp:posOffset>2025652</wp:posOffset>
            </wp:positionH>
            <wp:positionV relativeFrom="margin">
              <wp:posOffset>777240</wp:posOffset>
            </wp:positionV>
            <wp:extent cx="1588139" cy="1714500"/>
            <wp:effectExtent l="0" t="0" r="0" b="0"/>
            <wp:wrapTight wrapText="bothSides">
              <wp:wrapPolygon edited="0">
                <wp:start x="9846" y="0"/>
                <wp:lineTo x="7773" y="240"/>
                <wp:lineTo x="2850" y="2880"/>
                <wp:lineTo x="2850" y="3840"/>
                <wp:lineTo x="1036" y="7440"/>
                <wp:lineTo x="1295" y="11520"/>
                <wp:lineTo x="3627" y="15360"/>
                <wp:lineTo x="0" y="18720"/>
                <wp:lineTo x="259" y="20400"/>
                <wp:lineTo x="20987" y="20400"/>
                <wp:lineTo x="21246" y="18960"/>
                <wp:lineTo x="18137" y="15360"/>
                <wp:lineTo x="20469" y="11520"/>
                <wp:lineTo x="20728" y="7680"/>
                <wp:lineTo x="19432" y="2880"/>
                <wp:lineTo x="14250" y="240"/>
                <wp:lineTo x="11918" y="0"/>
                <wp:lineTo x="9846" y="0"/>
              </wp:wrapPolygon>
            </wp:wrapTight>
            <wp:docPr id="878130029" name="Imag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1588139" cy="1714500"/>
                    </a:xfrm>
                    <a:prstGeom prst="rect">
                      <a:avLst/>
                    </a:prstGeom>
                    <a:noFill/>
                    <a:ln>
                      <a:noFill/>
                      <a:prstDash/>
                    </a:ln>
                  </pic:spPr>
                </pic:pic>
              </a:graphicData>
            </a:graphic>
          </wp:anchor>
        </w:drawing>
      </w:r>
    </w:p>
    <w:p w14:paraId="60C7253B" w14:textId="77777777" w:rsidR="00115918" w:rsidRDefault="00115918"/>
    <w:p w14:paraId="52EC269E" w14:textId="77777777" w:rsidR="00115918" w:rsidRDefault="00115918"/>
    <w:p w14:paraId="4892619A" w14:textId="77777777" w:rsidR="00115918" w:rsidRDefault="00115918"/>
    <w:p w14:paraId="32B7217F" w14:textId="77777777" w:rsidR="00115918" w:rsidRDefault="00115918"/>
    <w:p w14:paraId="368CC2BB" w14:textId="77777777" w:rsidR="00115918" w:rsidRDefault="00115918"/>
    <w:p w14:paraId="51173F3F" w14:textId="77777777" w:rsidR="00115918" w:rsidRDefault="00115918"/>
    <w:p w14:paraId="03E24063" w14:textId="77777777" w:rsidR="00115918" w:rsidRDefault="00000000">
      <w:r>
        <w:rPr>
          <w:noProof/>
        </w:rPr>
        <mc:AlternateContent>
          <mc:Choice Requires="wps">
            <w:drawing>
              <wp:anchor distT="0" distB="0" distL="114300" distR="114300" simplePos="0" relativeHeight="251667456" behindDoc="0" locked="0" layoutInCell="1" allowOverlap="1" wp14:anchorId="3C49EE0F" wp14:editId="7B3E9594">
                <wp:simplePos x="0" y="0"/>
                <wp:positionH relativeFrom="column">
                  <wp:posOffset>487046</wp:posOffset>
                </wp:positionH>
                <wp:positionV relativeFrom="paragraph">
                  <wp:posOffset>114300</wp:posOffset>
                </wp:positionV>
                <wp:extent cx="4914900" cy="381003"/>
                <wp:effectExtent l="0" t="0" r="0" b="0"/>
                <wp:wrapNone/>
                <wp:docPr id="896563753" name="Zone de texte 3"/>
                <wp:cNvGraphicFramePr/>
                <a:graphic xmlns:a="http://schemas.openxmlformats.org/drawingml/2006/main">
                  <a:graphicData uri="http://schemas.microsoft.com/office/word/2010/wordprocessingShape">
                    <wps:wsp>
                      <wps:cNvSpPr txBox="1"/>
                      <wps:spPr>
                        <a:xfrm>
                          <a:off x="0" y="0"/>
                          <a:ext cx="4914900" cy="381003"/>
                        </a:xfrm>
                        <a:prstGeom prst="rect">
                          <a:avLst/>
                        </a:prstGeom>
                        <a:solidFill>
                          <a:srgbClr val="FFFFFF"/>
                        </a:solidFill>
                        <a:ln>
                          <a:noFill/>
                          <a:prstDash/>
                        </a:ln>
                      </wps:spPr>
                      <wps:txbx>
                        <w:txbxContent>
                          <w:p w14:paraId="5203C19F" w14:textId="77777777" w:rsidR="00115918" w:rsidRDefault="00000000">
                            <w:pPr>
                              <w:jc w:val="center"/>
                              <w:rPr>
                                <w:rFonts w:ascii="Times New Roman" w:hAnsi="Times New Roman"/>
                                <w:b/>
                                <w:bCs/>
                                <w:sz w:val="28"/>
                                <w:szCs w:val="28"/>
                                <w:lang w:val="fr-FR"/>
                              </w:rPr>
                            </w:pPr>
                            <w:r>
                              <w:rPr>
                                <w:rFonts w:ascii="Times New Roman" w:hAnsi="Times New Roman"/>
                                <w:b/>
                                <w:bCs/>
                                <w:sz w:val="28"/>
                                <w:szCs w:val="28"/>
                                <w:lang w:val="fr-FR"/>
                              </w:rPr>
                              <w:t>PORT AUTONOME D’ABIDJAN</w:t>
                            </w:r>
                          </w:p>
                        </w:txbxContent>
                      </wps:txbx>
                      <wps:bodyPr vert="horz" wrap="square" lIns="91440" tIns="45720" rIns="91440" bIns="45720" anchor="t" anchorCtr="0" compatLnSpc="1">
                        <a:noAutofit/>
                      </wps:bodyPr>
                    </wps:wsp>
                  </a:graphicData>
                </a:graphic>
              </wp:anchor>
            </w:drawing>
          </mc:Choice>
          <mc:Fallback>
            <w:pict>
              <v:shapetype w14:anchorId="3C49EE0F" id="_x0000_t202" coordsize="21600,21600" o:spt="202" path="m,l,21600r21600,l21600,xe">
                <v:stroke joinstyle="miter"/>
                <v:path gradientshapeok="t" o:connecttype="rect"/>
              </v:shapetype>
              <v:shape id="Zone de texte 3" o:spid="_x0000_s1026" type="#_x0000_t202" style="position:absolute;margin-left:38.35pt;margin-top:9pt;width:387pt;height:30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rPazgEAAJUDAAAOAAAAZHJzL2Uyb0RvYy54bWysU8GO0zAQvSPxD5bvNGm3wG7UdAVbFSGt&#10;AKnwAY5jN5Ycjxm7TcrXM3ZKW+CGyMHx+I1f3ryZrB7H3rKjwmDA1Xw+KzlTTkJr3L7m375uX91z&#10;FqJwrbDgVM1PKvDH9csXq8FXagEd2FYhIxIXqsHXvIvRV0URZKd6EWbglSNQA/YiUoj7okUxEHtv&#10;i0VZvikGwNYjSBUCnW4mkK8zv9ZKxs9aBxWZrTlpi3nFvDZpLdYrUe1R+M7IswzxDyp6YRx99EK1&#10;EVGwA5q/qHojEQLoOJPQF6C1kSrXQNXMyz+q2XXCq1wLmRP8xabw/2jlp+POf0EWx/cwUgOTIYMP&#10;VaDDVM+osU9vUsoIJwtPF9vUGJmkw+XDfPlQEiQJu7ufl+Vdoimutz2G+EFBz9Km5khtyW6J43OI&#10;U+qvlPSxANa0W2NtDnDfPFlkR0Et3ObnzP5bmnUp2UG6lpuaCDcidBN9gotrYWkXx2YkMG0baE9k&#10;As0xqesAf3A20EzUPHw/CFSc2Y+OTKc6l2mIcrB8/XZBAd4izS0inCSqmkfOpu1TnAaPOu9FfHY7&#10;L5Pjk+53hwjaZDOuis6aqffZzvOcpuG6jXPW9W9a/wQAAP//AwBQSwMEFAAGAAgAAAAhAOkOtAza&#10;AAAACAEAAA8AAABkcnMvZG93bnJldi54bWxMj81OhEAQhO8mvsOkTbwYd9C4gMiwURON1/15gIbp&#10;BSLTQ5jZhX1725Meu6pS/VW5WdygzjSF3rOBh1UCirjxtufWwGH/cZ+DChHZ4uCZDFwowKa6viqx&#10;sH7mLZ13sVVSwqFAA12MY6F1aDpyGFZ+JBbv6CeHUc6p1XbCWcrdoB+TJNUOe5YPHY703lHzvTs5&#10;A8ev+W79PNef8ZBtn9I37LPaX4y5vVleX0BFWuJfGH7xBR0qYar9iW1Qg4EszSQpei6TxM/XiQi1&#10;GCLoqtT/B1Q/AAAA//8DAFBLAQItABQABgAIAAAAIQC2gziS/gAAAOEBAAATAAAAAAAAAAAAAAAA&#10;AAAAAABbQ29udGVudF9UeXBlc10ueG1sUEsBAi0AFAAGAAgAAAAhADj9If/WAAAAlAEAAAsAAAAA&#10;AAAAAAAAAAAALwEAAF9yZWxzLy5yZWxzUEsBAi0AFAAGAAgAAAAhAPhWs9rOAQAAlQMAAA4AAAAA&#10;AAAAAAAAAAAALgIAAGRycy9lMm9Eb2MueG1sUEsBAi0AFAAGAAgAAAAhAOkOtAzaAAAACAEAAA8A&#10;AAAAAAAAAAAAAAAAKAQAAGRycy9kb3ducmV2LnhtbFBLBQYAAAAABAAEAPMAAAAvBQAAAAA=&#10;" stroked="f">
                <v:textbox>
                  <w:txbxContent>
                    <w:p w14:paraId="5203C19F" w14:textId="77777777" w:rsidR="00115918" w:rsidRDefault="00000000">
                      <w:pPr>
                        <w:jc w:val="center"/>
                        <w:rPr>
                          <w:rFonts w:ascii="Times New Roman" w:hAnsi="Times New Roman"/>
                          <w:b/>
                          <w:bCs/>
                          <w:sz w:val="28"/>
                          <w:szCs w:val="28"/>
                          <w:lang w:val="fr-FR"/>
                        </w:rPr>
                      </w:pPr>
                      <w:r>
                        <w:rPr>
                          <w:rFonts w:ascii="Times New Roman" w:hAnsi="Times New Roman"/>
                          <w:b/>
                          <w:bCs/>
                          <w:sz w:val="28"/>
                          <w:szCs w:val="28"/>
                          <w:lang w:val="fr-FR"/>
                        </w:rPr>
                        <w:t>PORT AUTONOME D’ABIDJAN</w:t>
                      </w:r>
                    </w:p>
                  </w:txbxContent>
                </v:textbox>
              </v:shape>
            </w:pict>
          </mc:Fallback>
        </mc:AlternateContent>
      </w:r>
    </w:p>
    <w:p w14:paraId="19CCCA0B" w14:textId="77777777" w:rsidR="00115918" w:rsidRDefault="00115918"/>
    <w:p w14:paraId="606FC4B0" w14:textId="77777777" w:rsidR="00115918" w:rsidRDefault="00000000">
      <w:r>
        <w:rPr>
          <w:noProof/>
          <w:lang w:val="fr-FR" w:eastAsia="fr-FR"/>
        </w:rPr>
        <mc:AlternateContent>
          <mc:Choice Requires="wps">
            <w:drawing>
              <wp:anchor distT="0" distB="0" distL="114300" distR="114300" simplePos="0" relativeHeight="251661312" behindDoc="0" locked="0" layoutInCell="1" allowOverlap="1" wp14:anchorId="2AFD50B1" wp14:editId="530D6EF1">
                <wp:simplePos x="0" y="0"/>
                <wp:positionH relativeFrom="margin">
                  <wp:align>right</wp:align>
                </wp:positionH>
                <wp:positionV relativeFrom="paragraph">
                  <wp:posOffset>7616</wp:posOffset>
                </wp:positionV>
                <wp:extent cx="5425436" cy="525780"/>
                <wp:effectExtent l="0" t="0" r="3814" b="7620"/>
                <wp:wrapNone/>
                <wp:docPr id="1827121788" name="Zone de texte 11"/>
                <wp:cNvGraphicFramePr/>
                <a:graphic xmlns:a="http://schemas.openxmlformats.org/drawingml/2006/main">
                  <a:graphicData uri="http://schemas.microsoft.com/office/word/2010/wordprocessingShape">
                    <wps:wsp>
                      <wps:cNvSpPr txBox="1"/>
                      <wps:spPr>
                        <a:xfrm>
                          <a:off x="0" y="0"/>
                          <a:ext cx="5425436" cy="525780"/>
                        </a:xfrm>
                        <a:prstGeom prst="rect">
                          <a:avLst/>
                        </a:prstGeom>
                        <a:solidFill>
                          <a:srgbClr val="FFFFFF"/>
                        </a:solidFill>
                        <a:ln>
                          <a:noFill/>
                          <a:prstDash/>
                        </a:ln>
                      </wps:spPr>
                      <wps:txbx>
                        <w:txbxContent>
                          <w:p w14:paraId="147FD181" w14:textId="77777777" w:rsidR="00115918" w:rsidRDefault="00000000">
                            <w:pPr>
                              <w:tabs>
                                <w:tab w:val="left" w:pos="431"/>
                                <w:tab w:val="left" w:pos="862"/>
                                <w:tab w:val="left" w:pos="1293"/>
                                <w:tab w:val="left" w:pos="1730"/>
                                <w:tab w:val="left" w:pos="4610"/>
                                <w:tab w:val="right" w:pos="9072"/>
                              </w:tabs>
                              <w:spacing w:after="120"/>
                              <w:jc w:val="center"/>
                            </w:pPr>
                            <w:r>
                              <w:rPr>
                                <w:rFonts w:ascii="Times New Roman" w:hAnsi="Times New Roman"/>
                                <w:lang w:val="fr-FR"/>
                              </w:rPr>
                              <w:t>DIRECTION DES ETUDES ECONOMIQUES, DE LA STRATEGIE ET DE LA PLANIFICATION</w:t>
                            </w:r>
                          </w:p>
                          <w:p w14:paraId="06950D2C" w14:textId="77777777" w:rsidR="00115918" w:rsidRDefault="00115918"/>
                        </w:txbxContent>
                      </wps:txbx>
                      <wps:bodyPr vert="horz" wrap="square" lIns="91440" tIns="45720" rIns="91440" bIns="45720" anchor="t" anchorCtr="0" compatLnSpc="1">
                        <a:noAutofit/>
                      </wps:bodyPr>
                    </wps:wsp>
                  </a:graphicData>
                </a:graphic>
              </wp:anchor>
            </w:drawing>
          </mc:Choice>
          <mc:Fallback>
            <w:pict>
              <v:shape w14:anchorId="2AFD50B1" id="Zone de texte 11" o:spid="_x0000_s1027" type="#_x0000_t202" style="position:absolute;margin-left:376pt;margin-top:.6pt;width:427.2pt;height:41.4pt;z-index:25166131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1dO1gEAAJwDAAAOAAAAZHJzL2Uyb0RvYy54bWysU8GO0zAQvSPxD5bvNG1Idpeq6Qq2KkJa&#10;sUiFD3Acp7HkeMzYbVK+nrFT2gI3RA+uxzMev/fmZfU49oYdFXoNtuKL2ZwzZSU02u4r/u3r9s0D&#10;Zz4I2wgDVlX8pDx/XL9+tRrcUuXQgWkUMmpi/XJwFe9CcMss87JTvfAzcMpSsgXsRaAQ91mDYqDu&#10;vcny+fwuGwAbhyCV93S6mZJ8nfq3rZLhpW29CsxUnLCFtGJa67hm65VY7lG4TsszDPEPKHqhLT16&#10;abURQbAD6r9a9VoieGjDTEKfQdtqqRIHYrOY/8Fm1wmnEhcSx7uLTP7/tZWfjzv3BVkYP8BIA4yC&#10;DM4vPR1GPmOLffwnpIzyJOHpIpsaA5N0WBZ5Wby940xSrszL+4eka3a97dCHjwp6FjcVRxpLUksc&#10;n32gF6n0V0l8zIPRzVYbkwLc108G2VHQCLfpF0HSld/KjI3FFuK1NNTYcCN8N9XGdHYlFndhrEem&#10;mxvSNTQn0oLsTCA7wB+cDWSNivvvB4GKM/PJkvbvFkURvZSCorzPKcDbTH2bEVZSq4oHzqbtU5j8&#10;RwZwIjzbnZMRwwT//SFAq5MmEeOE6AydLJB4n+0aPXYbp6rrR7X+CQAA//8DAFBLAwQUAAYACAAA&#10;ACEAvZm9ptoAAAAFAQAADwAAAGRycy9kb3ducmV2LnhtbEyPzU7DQAyE70i8w8pIXBDdUKU/pNlU&#10;gATi2p8HcLJuEjXrjbLbJn17zAluHo818znfTq5TVxpC69nAyywBRVx523Jt4Hj4fF6DChHZYueZ&#10;DNwowLa4v8sxs37kHV33sVYSwiFDA02MfaZ1qBpyGGa+Jxbv5AeHUeRQazvgKOGu0/MkWWqHLUtD&#10;gz19NFSd9xdn4PQ9Pi1ex/IrHle7dPmO7ar0N2MeH6a3DahIU/w7hl98QYdCmEp/YRtUZ0AeibKd&#10;gxJzvUhTUKUMaQK6yPV/+uIHAAD//wMAUEsBAi0AFAAGAAgAAAAhALaDOJL+AAAA4QEAABMAAAAA&#10;AAAAAAAAAAAAAAAAAFtDb250ZW50X1R5cGVzXS54bWxQSwECLQAUAAYACAAAACEAOP0h/9YAAACU&#10;AQAACwAAAAAAAAAAAAAAAAAvAQAAX3JlbHMvLnJlbHNQSwECLQAUAAYACAAAACEAZktXTtYBAACc&#10;AwAADgAAAAAAAAAAAAAAAAAuAgAAZHJzL2Uyb0RvYy54bWxQSwECLQAUAAYACAAAACEAvZm9ptoA&#10;AAAFAQAADwAAAAAAAAAAAAAAAAAwBAAAZHJzL2Rvd25yZXYueG1sUEsFBgAAAAAEAAQA8wAAADcF&#10;AAAAAA==&#10;" stroked="f">
                <v:textbox>
                  <w:txbxContent>
                    <w:p w14:paraId="147FD181" w14:textId="77777777" w:rsidR="00115918" w:rsidRDefault="00000000">
                      <w:pPr>
                        <w:tabs>
                          <w:tab w:val="left" w:pos="431"/>
                          <w:tab w:val="left" w:pos="862"/>
                          <w:tab w:val="left" w:pos="1293"/>
                          <w:tab w:val="left" w:pos="1730"/>
                          <w:tab w:val="left" w:pos="4610"/>
                          <w:tab w:val="right" w:pos="9072"/>
                        </w:tabs>
                        <w:spacing w:after="120"/>
                        <w:jc w:val="center"/>
                      </w:pPr>
                      <w:r>
                        <w:rPr>
                          <w:rFonts w:ascii="Times New Roman" w:hAnsi="Times New Roman"/>
                          <w:lang w:val="fr-FR"/>
                        </w:rPr>
                        <w:t>DIRECTION DES ETUDES ECONOMIQUES, DE LA STRATEGIE ET DE LA PLANIFICATION</w:t>
                      </w:r>
                    </w:p>
                    <w:p w14:paraId="06950D2C" w14:textId="77777777" w:rsidR="00115918" w:rsidRDefault="00115918"/>
                  </w:txbxContent>
                </v:textbox>
                <w10:wrap anchorx="margin"/>
              </v:shape>
            </w:pict>
          </mc:Fallback>
        </mc:AlternateContent>
      </w:r>
    </w:p>
    <w:p w14:paraId="3AD972B9" w14:textId="77777777" w:rsidR="00115918" w:rsidRDefault="00115918"/>
    <w:p w14:paraId="4312F46E" w14:textId="77777777" w:rsidR="00115918" w:rsidRDefault="00000000">
      <w:r>
        <w:rPr>
          <w:noProof/>
        </w:rPr>
        <mc:AlternateContent>
          <mc:Choice Requires="wps">
            <w:drawing>
              <wp:anchor distT="0" distB="0" distL="114300" distR="114300" simplePos="0" relativeHeight="251662336" behindDoc="0" locked="0" layoutInCell="1" allowOverlap="1" wp14:anchorId="4565E8D2" wp14:editId="71A18EE3">
                <wp:simplePos x="0" y="0"/>
                <wp:positionH relativeFrom="column">
                  <wp:posOffset>426082</wp:posOffset>
                </wp:positionH>
                <wp:positionV relativeFrom="paragraph">
                  <wp:posOffset>8257</wp:posOffset>
                </wp:positionV>
                <wp:extent cx="5135883" cy="381003"/>
                <wp:effectExtent l="0" t="0" r="7617" b="0"/>
                <wp:wrapNone/>
                <wp:docPr id="206234743" name="Zone de texte 3"/>
                <wp:cNvGraphicFramePr/>
                <a:graphic xmlns:a="http://schemas.openxmlformats.org/drawingml/2006/main">
                  <a:graphicData uri="http://schemas.microsoft.com/office/word/2010/wordprocessingShape">
                    <wps:wsp>
                      <wps:cNvSpPr txBox="1"/>
                      <wps:spPr>
                        <a:xfrm>
                          <a:off x="0" y="0"/>
                          <a:ext cx="5135883" cy="381003"/>
                        </a:xfrm>
                        <a:prstGeom prst="rect">
                          <a:avLst/>
                        </a:prstGeom>
                        <a:solidFill>
                          <a:srgbClr val="FFFFFF"/>
                        </a:solidFill>
                        <a:ln>
                          <a:noFill/>
                          <a:prstDash/>
                        </a:ln>
                      </wps:spPr>
                      <wps:txbx>
                        <w:txbxContent>
                          <w:p w14:paraId="344AF26A" w14:textId="77777777" w:rsidR="00115918" w:rsidRDefault="00000000">
                            <w:pPr>
                              <w:jc w:val="center"/>
                              <w:rPr>
                                <w:rFonts w:ascii="Times New Roman" w:hAnsi="Times New Roman"/>
                              </w:rPr>
                            </w:pPr>
                            <w:r>
                              <w:rPr>
                                <w:rFonts w:ascii="Times New Roman" w:hAnsi="Times New Roman"/>
                              </w:rPr>
                              <w:t>Département Etudes Economiques et Financières</w:t>
                            </w:r>
                          </w:p>
                        </w:txbxContent>
                      </wps:txbx>
                      <wps:bodyPr vert="horz" wrap="square" lIns="91440" tIns="45720" rIns="91440" bIns="45720" anchor="t" anchorCtr="0" compatLnSpc="1">
                        <a:noAutofit/>
                      </wps:bodyPr>
                    </wps:wsp>
                  </a:graphicData>
                </a:graphic>
              </wp:anchor>
            </w:drawing>
          </mc:Choice>
          <mc:Fallback>
            <w:pict>
              <v:shape w14:anchorId="4565E8D2" id="_x0000_s1028" type="#_x0000_t202" style="position:absolute;margin-left:33.55pt;margin-top:.65pt;width:404.4pt;height:30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CA61gEAAJwDAAAOAAAAZHJzL2Uyb0RvYy54bWysU9uO0zAQfUfiHyy/0yS9QImarmCrIqQV&#10;i1T4ANdxGkuOx4zdJuXrGTvdtsAbIg+OxzM+OXPmZPUwdIadFHoNtuLFJOdMWQm1toeKf/+2fbPk&#10;zAdha2HAqoqflecP69evVr0r1RRaMLVCRiDWl72reBuCK7PMy1Z1wk/AKUvJBrATgUI8ZDWKntA7&#10;k03z/G3WA9YOQSrv6XQzJvk64TeNkuG5abwKzFScuIW0Ylr3cc3WK1EeULhWywsN8Q8sOqEtffQK&#10;tRFBsCPqv6A6LRE8NGEiocugabRUqQfqpsj/6GbXCqdSLySOd1eZ/P+DlV9OO/cVWRg+wkADjIL0&#10;zpeeDmM/Q4NdfBNTRnmS8HyVTQ2BSTpcFLPFcjnjTFJutizyfBZhsttthz58UtCxuKk40liSWuL0&#10;5MNY+lISP+bB6HqrjUkBHvaPBtlJ0Ai36bmg/1ZmbCy2EK+loUbAjfDtCB/T2a2xuAvDfmC6rvj0&#10;pek91GfSguxMJFvAn5z1ZI2K+x9HgYoz89mS9u+L+Tx6KQXzxbspBXif2d9nhJUEVfHA2bh9DKP/&#10;yABOhCe7czIKP9L/cAzQ6KRJ5DgyulAnCyRVL3aNHruPU9Xtp1r/AgAA//8DAFBLAwQUAAYACAAA&#10;ACEA0XWvPtoAAAAHAQAADwAAAGRycy9kb3ducmV2LnhtbEyOQU7DMBBF90jcwRokNog6BZq0IU4F&#10;SCC2LT3AJJ4mEfE4it0mvT3DCpbz/tefV2xn16szjaHzbGC5SEAR19523Bg4fL3fr0GFiGyx90wG&#10;LhRgW15fFZhbP/GOzvvYKBnhkKOBNsYh1zrULTkMCz8QS3b0o8Mo59hoO+Ik467XD0mSaocdy4cW&#10;B3prqf7en5yB4+d0t9pM1Uc8ZLun9BW7rPIXY25v5pdnUJHm+FeGX31Rh1KcKn9iG1RvIM2W0hT+&#10;CEridbbagKqEC9Blof/7lz8AAAD//wMAUEsBAi0AFAAGAAgAAAAhALaDOJL+AAAA4QEAABMAAAAA&#10;AAAAAAAAAAAAAAAAAFtDb250ZW50X1R5cGVzXS54bWxQSwECLQAUAAYACAAAACEAOP0h/9YAAACU&#10;AQAACwAAAAAAAAAAAAAAAAAvAQAAX3JlbHMvLnJlbHNQSwECLQAUAAYACAAAACEApBAgOtYBAACc&#10;AwAADgAAAAAAAAAAAAAAAAAuAgAAZHJzL2Uyb0RvYy54bWxQSwECLQAUAAYACAAAACEA0XWvPtoA&#10;AAAHAQAADwAAAAAAAAAAAAAAAAAwBAAAZHJzL2Rvd25yZXYueG1sUEsFBgAAAAAEAAQA8wAAADcF&#10;AAAAAA==&#10;" stroked="f">
                <v:textbox>
                  <w:txbxContent>
                    <w:p w14:paraId="344AF26A" w14:textId="77777777" w:rsidR="00115918" w:rsidRDefault="00000000">
                      <w:pPr>
                        <w:jc w:val="center"/>
                        <w:rPr>
                          <w:rFonts w:ascii="Times New Roman" w:hAnsi="Times New Roman"/>
                        </w:rPr>
                      </w:pPr>
                      <w:r>
                        <w:rPr>
                          <w:rFonts w:ascii="Times New Roman" w:hAnsi="Times New Roman"/>
                        </w:rPr>
                        <w:t>Département Etudes Economiques et Financières</w:t>
                      </w:r>
                    </w:p>
                  </w:txbxContent>
                </v:textbox>
              </v:shape>
            </w:pict>
          </mc:Fallback>
        </mc:AlternateContent>
      </w:r>
    </w:p>
    <w:p w14:paraId="4937F5E7" w14:textId="77777777" w:rsidR="00115918" w:rsidRDefault="00115918"/>
    <w:p w14:paraId="02E185E0" w14:textId="77777777" w:rsidR="00115918" w:rsidRDefault="00115918"/>
    <w:p w14:paraId="20D98585" w14:textId="77777777" w:rsidR="00115918" w:rsidRDefault="00115918">
      <w:pPr>
        <w:pBdr>
          <w:top w:val="single" w:sz="48" w:space="1" w:color="0E4C74"/>
          <w:bottom w:val="single" w:sz="48" w:space="1" w:color="0E4C74"/>
        </w:pBdr>
        <w:jc w:val="center"/>
        <w:rPr>
          <w:rFonts w:ascii="Times New Roman" w:hAnsi="Times New Roman"/>
          <w:sz w:val="28"/>
          <w:szCs w:val="28"/>
        </w:rPr>
      </w:pPr>
    </w:p>
    <w:p w14:paraId="53E3FA10" w14:textId="77777777" w:rsidR="00115918" w:rsidRDefault="00000000">
      <w:pPr>
        <w:pBdr>
          <w:top w:val="single" w:sz="48" w:space="1" w:color="0E4C74"/>
          <w:bottom w:val="single" w:sz="48" w:space="1" w:color="0E4C74"/>
        </w:pBdr>
        <w:jc w:val="center"/>
      </w:pPr>
      <w:r>
        <w:rPr>
          <w:rFonts w:ascii="Times New Roman" w:hAnsi="Times New Roman"/>
          <w:b/>
          <w:bCs/>
          <w:sz w:val="36"/>
          <w:szCs w:val="36"/>
        </w:rPr>
        <w:t>RAPPORT TECHNIQUE N°05/07/2026</w:t>
      </w:r>
      <w:r/>
      <w:r>
        <w:rPr>
          <w:rFonts w:ascii="Times New Roman" w:hAnsi="Times New Roman"/>
          <w:b/>
          <w:bCs/>
          <w:sz w:val="36"/>
          <w:szCs w:val="36"/>
        </w:rPr>
      </w:r>
      <w:r>
        <w:rPr>
          <w:sz w:val="36"/>
          <w:szCs w:val="36"/>
        </w:rPr>
      </w:r>
      <w:r>
        <w:rPr>
          <w:rFonts w:ascii="Times New Roman" w:hAnsi="Times New Roman"/>
          <w:sz w:val="36"/>
          <w:szCs w:val="36"/>
        </w:rPr>
      </w:r>
    </w:p>
    <w:p w14:paraId="6BFD11E0" w14:textId="77777777" w:rsidR="00115918" w:rsidRDefault="00115918">
      <w:pPr>
        <w:pBdr>
          <w:top w:val="single" w:sz="48" w:space="1" w:color="0E4C74"/>
          <w:bottom w:val="single" w:sz="48" w:space="1" w:color="0E4C74"/>
        </w:pBdr>
        <w:jc w:val="center"/>
      </w:pPr>
    </w:p>
    <w:p w14:paraId="66A3A4F3" w14:textId="77777777" w:rsidR="00115918" w:rsidRDefault="00000000">
      <w:r>
        <w:rPr>
          <w:rFonts w:ascii="Times New Roman" w:hAnsi="Times New Roman"/>
          <w:b/>
          <w:bCs/>
          <w:noProof/>
          <w:sz w:val="32"/>
          <w:szCs w:val="32"/>
        </w:rPr>
        <mc:AlternateContent>
          <mc:Choice Requires="wps">
            <w:drawing>
              <wp:anchor distT="0" distB="0" distL="114300" distR="114300" simplePos="0" relativeHeight="251664384" behindDoc="0" locked="0" layoutInCell="1" allowOverlap="1" wp14:anchorId="5DF3890F" wp14:editId="62DDE22F">
                <wp:simplePos x="0" y="0"/>
                <wp:positionH relativeFrom="column">
                  <wp:posOffset>-99056</wp:posOffset>
                </wp:positionH>
                <wp:positionV relativeFrom="paragraph">
                  <wp:posOffset>205740</wp:posOffset>
                </wp:positionV>
                <wp:extent cx="6035040" cy="1234440"/>
                <wp:effectExtent l="0" t="0" r="22860" b="22860"/>
                <wp:wrapNone/>
                <wp:docPr id="1315769561" name="Rectangle : coins arrondis 2"/>
                <wp:cNvGraphicFramePr/>
                <a:graphic xmlns:a="http://schemas.openxmlformats.org/drawingml/2006/main">
                  <a:graphicData uri="http://schemas.microsoft.com/office/word/2010/wordprocessingShape">
                    <wps:wsp>
                      <wps:cNvSpPr/>
                      <wps:spPr>
                        <a:xfrm>
                          <a:off x="0" y="0"/>
                          <a:ext cx="6035040" cy="1234440"/>
                        </a:xfrm>
                        <a:custGeom>
                          <a:avLst>
                            <a:gd name="f0" fmla="val 3600"/>
                          </a:avLst>
                          <a:gdLst>
                            <a:gd name="f1" fmla="val 10800000"/>
                            <a:gd name="f2" fmla="val 5400000"/>
                            <a:gd name="f3" fmla="val 16200000"/>
                            <a:gd name="f4" fmla="val w"/>
                            <a:gd name="f5" fmla="val h"/>
                            <a:gd name="f6" fmla="val ss"/>
                            <a:gd name="f7" fmla="val 0"/>
                            <a:gd name="f8" fmla="*/ 5419351 1 1725033"/>
                            <a:gd name="f9" fmla="val 45"/>
                            <a:gd name="f10" fmla="val 10800"/>
                            <a:gd name="f11" fmla="val -2147483647"/>
                            <a:gd name="f12" fmla="val 2147483647"/>
                            <a:gd name="f13" fmla="abs f4"/>
                            <a:gd name="f14" fmla="abs f5"/>
                            <a:gd name="f15" fmla="abs f6"/>
                            <a:gd name="f16" fmla="*/ f8 1 180"/>
                            <a:gd name="f17" fmla="pin 0 f0 10800"/>
                            <a:gd name="f18" fmla="+- 0 0 f2"/>
                            <a:gd name="f19" fmla="?: f13 f4 1"/>
                            <a:gd name="f20" fmla="?: f14 f5 1"/>
                            <a:gd name="f21" fmla="?: f15 f6 1"/>
                            <a:gd name="f22" fmla="*/ f9 f16 1"/>
                            <a:gd name="f23" fmla="+- f7 f17 0"/>
                            <a:gd name="f24" fmla="*/ f19 1 21600"/>
                            <a:gd name="f25" fmla="*/ f20 1 21600"/>
                            <a:gd name="f26" fmla="*/ 21600 f19 1"/>
                            <a:gd name="f27" fmla="*/ 21600 f20 1"/>
                            <a:gd name="f28" fmla="+- 0 0 f22"/>
                            <a:gd name="f29" fmla="min f25 f24"/>
                            <a:gd name="f30" fmla="*/ f26 1 f21"/>
                            <a:gd name="f31" fmla="*/ f27 1 f21"/>
                            <a:gd name="f32" fmla="*/ f28 f1 1"/>
                            <a:gd name="f33" fmla="*/ f32 1 f8"/>
                            <a:gd name="f34" fmla="+- f31 0 f17"/>
                            <a:gd name="f35" fmla="+- f30 0 f17"/>
                            <a:gd name="f36" fmla="*/ f17 f29 1"/>
                            <a:gd name="f37" fmla="*/ f7 f29 1"/>
                            <a:gd name="f38" fmla="*/ f23 f29 1"/>
                            <a:gd name="f39" fmla="*/ f31 f29 1"/>
                            <a:gd name="f40" fmla="*/ f30 f29 1"/>
                            <a:gd name="f41" fmla="+- f33 0 f2"/>
                            <a:gd name="f42" fmla="+- f37 0 f38"/>
                            <a:gd name="f43" fmla="+- f38 0 f37"/>
                            <a:gd name="f44" fmla="*/ f34 f29 1"/>
                            <a:gd name="f45" fmla="*/ f35 f29 1"/>
                            <a:gd name="f46" fmla="cos 1 f41"/>
                            <a:gd name="f47" fmla="abs f42"/>
                            <a:gd name="f48" fmla="abs f43"/>
                            <a:gd name="f49" fmla="?: f42 f18 f2"/>
                            <a:gd name="f50" fmla="?: f42 f2 f18"/>
                            <a:gd name="f51" fmla="?: f42 f3 f2"/>
                            <a:gd name="f52" fmla="?: f42 f2 f3"/>
                            <a:gd name="f53" fmla="+- f39 0 f44"/>
                            <a:gd name="f54" fmla="?: f43 f18 f2"/>
                            <a:gd name="f55" fmla="?: f43 f2 f18"/>
                            <a:gd name="f56" fmla="+- f40 0 f45"/>
                            <a:gd name="f57" fmla="+- f44 0 f39"/>
                            <a:gd name="f58" fmla="+- f45 0 f40"/>
                            <a:gd name="f59" fmla="?: f42 0 f1"/>
                            <a:gd name="f60" fmla="?: f42 f1 0"/>
                            <a:gd name="f61" fmla="+- 0 0 f46"/>
                            <a:gd name="f62" fmla="?: f42 f52 f51"/>
                            <a:gd name="f63" fmla="?: f42 f51 f52"/>
                            <a:gd name="f64" fmla="?: f43 f50 f49"/>
                            <a:gd name="f65" fmla="abs f53"/>
                            <a:gd name="f66" fmla="?: f53 0 f1"/>
                            <a:gd name="f67" fmla="?: f53 f1 0"/>
                            <a:gd name="f68" fmla="?: f53 f54 f55"/>
                            <a:gd name="f69" fmla="abs f56"/>
                            <a:gd name="f70" fmla="abs f57"/>
                            <a:gd name="f71" fmla="?: f56 f18 f2"/>
                            <a:gd name="f72" fmla="?: f56 f2 f18"/>
                            <a:gd name="f73" fmla="?: f56 f3 f2"/>
                            <a:gd name="f74" fmla="?: f56 f2 f3"/>
                            <a:gd name="f75" fmla="abs f58"/>
                            <a:gd name="f76" fmla="?: f58 f18 f2"/>
                            <a:gd name="f77" fmla="?: f58 f2 f18"/>
                            <a:gd name="f78" fmla="?: f58 f60 f59"/>
                            <a:gd name="f79" fmla="?: f58 f59 f60"/>
                            <a:gd name="f80" fmla="*/ f17 f61 1"/>
                            <a:gd name="f81" fmla="?: f43 f63 f62"/>
                            <a:gd name="f82" fmla="?: f43 f67 f66"/>
                            <a:gd name="f83" fmla="?: f43 f66 f67"/>
                            <a:gd name="f84" fmla="?: f56 f74 f73"/>
                            <a:gd name="f85" fmla="?: f56 f73 f74"/>
                            <a:gd name="f86" fmla="?: f57 f72 f71"/>
                            <a:gd name="f87" fmla="?: f42 f78 f79"/>
                            <a:gd name="f88" fmla="?: f42 f76 f77"/>
                            <a:gd name="f89" fmla="*/ f80 3163 1"/>
                            <a:gd name="f90" fmla="?: f53 f82 f83"/>
                            <a:gd name="f91" fmla="?: f57 f85 f84"/>
                            <a:gd name="f92" fmla="*/ f89 1 7636"/>
                            <a:gd name="f93" fmla="+- f7 f92 0"/>
                            <a:gd name="f94" fmla="+- f30 0 f92"/>
                            <a:gd name="f95" fmla="+- f31 0 f92"/>
                            <a:gd name="f96" fmla="*/ f93 f29 1"/>
                            <a:gd name="f97" fmla="*/ f94 f29 1"/>
                            <a:gd name="f98" fmla="*/ f95 f29 1"/>
                          </a:gdLst>
                          <a:ahLst>
                            <a:ahXY gdRefX="f0" minX="f7" maxX="f10">
                              <a:pos x="f36" y="f37"/>
                            </a:ahXY>
                          </a:ahLst>
                          <a:cxnLst>
                            <a:cxn ang="3cd4">
                              <a:pos x="hc" y="t"/>
                            </a:cxn>
                            <a:cxn ang="0">
                              <a:pos x="r" y="vc"/>
                            </a:cxn>
                            <a:cxn ang="cd4">
                              <a:pos x="hc" y="b"/>
                            </a:cxn>
                            <a:cxn ang="cd2">
                              <a:pos x="l" y="vc"/>
                            </a:cxn>
                          </a:cxnLst>
                          <a:rect l="f96" t="f96" r="f97" b="f98"/>
                          <a:pathLst>
                            <a:path>
                              <a:moveTo>
                                <a:pt x="f38" y="f37"/>
                              </a:moveTo>
                              <a:arcTo wR="f47" hR="f48" stAng="f81" swAng="f64"/>
                              <a:lnTo>
                                <a:pt x="f37" y="f44"/>
                              </a:lnTo>
                              <a:arcTo wR="f48" hR="f65" stAng="f90" swAng="f68"/>
                              <a:lnTo>
                                <a:pt x="f45" y="f39"/>
                              </a:lnTo>
                              <a:arcTo wR="f69" hR="f70" stAng="f91" swAng="f86"/>
                              <a:lnTo>
                                <a:pt x="f40" y="f38"/>
                              </a:lnTo>
                              <a:arcTo wR="f75" hR="f47" stAng="f87" swAng="f88"/>
                              <a:close/>
                            </a:path>
                          </a:pathLst>
                        </a:custGeom>
                        <a:noFill/>
                        <a:ln w="19046" cap="flat">
                          <a:solidFill>
                            <a:srgbClr val="0E4C74"/>
                          </a:solidFill>
                          <a:prstDash val="solid"/>
                          <a:miter/>
                        </a:ln>
                      </wps:spPr>
                      <wps:bodyPr lIns="0" tIns="0" rIns="0" bIns="0"/>
                    </wps:wsp>
                  </a:graphicData>
                </a:graphic>
              </wp:anchor>
            </w:drawing>
          </mc:Choice>
          <mc:Fallback>
            <w:pict>
              <v:shape w14:anchorId="27821508" id="Rectangle : coins arrondis 2" o:spid="_x0000_s1026" style="position:absolute;margin-left:-7.8pt;margin-top:16.2pt;width:475.2pt;height:97.2pt;z-index:251664384;visibility:visible;mso-wrap-style:square;mso-wrap-distance-left:9pt;mso-wrap-distance-top:0;mso-wrap-distance-right:9pt;mso-wrap-distance-bottom:0;mso-position-horizontal:absolute;mso-position-horizontal-relative:text;mso-position-vertical:absolute;mso-position-vertical-relative:text;v-text-anchor:top" coordsize="6035040,1234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ThRLAYAAL0UAAAOAAAAZHJzL2Uyb0RvYy54bWysmFtv3DYQhd8L9D8Q+9giWd0vRpygSJqi&#10;QNEGSQokj7JW9C6gG0TF6/z7nhlJY0mk+1A0RtZc6+hw+M2QlPjqzWNTq4dqMJeuvT34L72Dqtqy&#10;O13a+9vD35/fv8gOyoxFeyrqrq1uD98rc3jz+scfXl37myrozl19qgYFk9bcXPvbw3kc+5vj0ZTn&#10;qinMy66vWlzU3dAUI74O98fTUFzh3tTHwPOS47UbTv3QlZUx+Ou76eLhNftrXZXjX1qbalT17QGx&#10;jfw58OcdfR5fvypu7oeiP1/KOYziP0TRFJcWnYrVu2Is1LfhYlk1l3LoTKfHl2XXHDutL2XFY8Bo&#10;fG83mk/noq94LIBjesFk/j/b8s+HT/2HARiuvbkxaNIoHvXQ0G/Epx4Z1neBVT2OqsQfEy+MvQhM&#10;S1zzgzCK8AU+x6fby29m/K3q2Kp4+MOMTOik2qJBKWjcq5sauB+KWoWJt9y+klr3+Ot7fC/z6N+c&#10;RTEO1qI4cmrCtcZPUEsOo2gtuu67iddXz/uryfqqMfvL6fqyNQLMmgnNT0cVR34exr7CTxrEXhju&#10;rfJFTByjeH/Z33BmZpZkg/VF4EdplIVJlFrCDdp/0Qne4s4oHVk+Qpav2zELW76eWPcLXQDSGbHJ&#10;LIi+MO4vrfKU9pR79EL75xeQQRhY/QnjNzdK+yGGpPy9KBDQLIqUjh0iQc2iWOnEIRLMNLwcPbpE&#10;whhh6xSiVFkMAgFNTn4OUoE/TzWsVk9TRoCTLgCpZ3Rr8Ow0uVoshD38Zh25WjqbvQU/EPgN8qgD&#10;MMOwppVbBhAKfB4AeEFldRcKfValz6g2+IMMQ7Qjxzx8mqM6DMgqs6IS/JSj0KfiQlnuYxf4rOIS&#10;dKjW6CnZOkA6La81eKoKp0ioMwaUs1Ml3EmF4J0q2gJkrdIhzR5HWJGA5yGGzlkWCXcWoZzRrcU0&#10;EvCsylhlMY2EPAePyegMS8iziirLFbyQLztDecZodinEUjlTmBY8q4gjQT4JrFU8Etq0MEQBCgWF&#10;Z/nEgnuRsXIfTyy8Fxkl2VIJ8EUFMyuyeAs8J+DAuyMQC3D2Qnfu+IX4InPHL8gpyRFPCXtri4U6&#10;qyIuhdyKTNCzKub4rZUy3vOnqbq3Siz6mNKWSNijvylyawNLLPIxOCBrO6qJsF8yhCcBHVuZTCz6&#10;MWXJYpEI/mnjtZKdCHjqMOaJakcl3GcRFkgbg2BfRDFtidZenwj4KSSLVSrQJ4E111MBzj0lz5Re&#10;umEeQ+YsvXSDnGSuqZNugM9mFs10h9tazNItbtpqXLM+3QInCSn31ZJukUOWoApQ2buqSgU5A4Mu&#10;xkMGinunwzPVam2nLSdx7ITZBn8EWgn9t2o02/BnHTla+c42CWAdkpBYac+sFKQoMKRvPwpJwlIe&#10;KeJDAve6bS4QWwrKKK69bpMMWqlTEATTvW6TDdZhHEjlXifZoE0o81ToA6DVbS7JWOZThq4Ba2eX&#10;b9IRYxgZ9jXA2uskHdwtPRqmSWhlI5ds0OoJtzyw53ouqSARHgJQdrlVALkkglX8NORQSRoorpwm&#10;n2NPziUJrHpmf88lBaxa7e94Tb0/za+XxVkaX76q+9PHSn+Z3k/xwEkt9NUUj9TCyxS9xPZ4DsA7&#10;sAYuhddfHXJS4Vmcv3zld2DxLB/b2R0tVdC5SFieorXNuWSXkTIED+ioD5FvuhxY+lA+o3U73z2r&#10;DtZx1A7vKZ55BAPOU+gkRecYN85S+DdOUzRlA+cpGry5yvpiXJhSk4bTdA/V547hjRM75GbD7klR&#10;DOXnTl0/wpEerM7cgNyMvxA/TSuOuU5t7HzcZd1u3XEfuU8PKhjFcn3tDUv2pl1x8aZpJt7zcJZ7&#10;+ylyPIhMkfOUd3vTrsbetHuJ9yrubJ5pe2/ImQp37famXWVigkEu3hm1ZybZHHdZd6aaimpKA/wk&#10;NWivD2ja7v2lrmeU6oozndyLkOaywLGcrouRK8V09eVEQkqkGe7v3taDwrkDjod+jd5OayqMN7J+&#10;MOO7wpwnHV+aUtZcxmqYwqtR8senIyhq3XWn7x8GVf/e4rwLVMalMSyNu7lBFnQHzsh4As3neXQI&#10;t/7OqqdTx9f/AAAA//8DAFBLAwQUAAYACAAAACEAqdBKhd8AAAAKAQAADwAAAGRycy9kb3ducmV2&#10;LnhtbEyPwU7DMBBE70j8g7VI3FonabBKiFNVSHDg1rTcndgkUe11FLtNyteznOC42qeZN+VucZZd&#10;zRQGjxLSdQLMYOv1gJ2E0/FttQUWokKtrEcj4WYC7Kr7u1IV2s94MNc6doxCMBRKQh/jWHAe2t44&#10;FdZ+NEi/Lz85FemcOq4nNVO4szxLEsGdGpAaejWa19605/riJIj98TtvAj/b2/whTvPhc6zfUykf&#10;H5b9C7BolvgHw68+qUNFTo2/oA7MSlilT4JQCZssB0bA8yanLY2ELBNb4FXJ/0+ofgAAAP//AwBQ&#10;SwECLQAUAAYACAAAACEAtoM4kv4AAADhAQAAEwAAAAAAAAAAAAAAAAAAAAAAW0NvbnRlbnRfVHlw&#10;ZXNdLnhtbFBLAQItABQABgAIAAAAIQA4/SH/1gAAAJQBAAALAAAAAAAAAAAAAAAAAC8BAABfcmVs&#10;cy8ucmVsc1BLAQItABQABgAIAAAAIQCroThRLAYAAL0UAAAOAAAAAAAAAAAAAAAAAC4CAABkcnMv&#10;ZTJvRG9jLnhtbFBLAQItABQABgAIAAAAIQCp0EqF3wAAAAoBAAAPAAAAAAAAAAAAAAAAAIYIAABk&#10;cnMvZG93bnJldi54bWxQSwUGAAAAAAQABADzAAAAkgkAAAAA&#10;" path="m205740,at,,411480,411480,205740,,,205740l,1028700at,822960,411480,1234440,,1028700,205740,1234440l5829300,1234440at5623560,822960,6035040,1234440,5829300,1234440,6035040,1028700l6035040,205740at5623560,,6035040,411480,6035040,205740,5829300,l205740,xe" filled="f" strokecolor="#0e4c74" strokeweight=".52906mm">
                <v:stroke joinstyle="miter"/>
                <v:path arrowok="t" o:connecttype="custom" o:connectlocs="3017520,0;6035040,617220;3017520,1234440;0,617220" o:connectangles="270,0,90,180" textboxrect="60261,60261,5974779,1174179"/>
              </v:shape>
            </w:pict>
          </mc:Fallback>
        </mc:AlternateContent>
      </w:r>
    </w:p>
    <w:p w14:paraId="2EFBF1BE" w14:textId="77777777" w:rsidR="00115918" w:rsidRDefault="00000000">
      <w:pPr>
        <w:ind w:firstLine="708"/>
        <w:jc w:val="center"/>
      </w:pPr>
      <w:r>
        <w:rPr>
          <w:rFonts w:ascii="Times New Roman" w:hAnsi="Times New Roman"/>
          <w:b/>
          <w:bCs/>
          <w:sz w:val="36"/>
          <w:szCs w:val="36"/>
        </w:rPr>
        <w:t>FlowPort — Système intelligent de surveillance du trafic routier de la zone portuaire</w:t>
      </w:r>
    </w:p>
    <w:p w14:paraId="1275DC58" w14:textId="77777777" w:rsidR="00115918" w:rsidRDefault="00115918">
      <w:pPr>
        <w:pBdr>
          <w:bottom w:val="single" w:sz="48" w:space="31" w:color="0E4C74"/>
        </w:pBdr>
        <w:rPr>
          <w:rFonts w:ascii="Times New Roman" w:hAnsi="Times New Roman"/>
          <w:sz w:val="28"/>
          <w:szCs w:val="28"/>
        </w:rPr>
      </w:pPr>
    </w:p>
    <w:p w14:paraId="4E92D909" w14:textId="77777777" w:rsidR="00115918" w:rsidRDefault="00115918">
      <w:pPr>
        <w:pBdr>
          <w:bottom w:val="single" w:sz="48" w:space="31" w:color="0E4C74"/>
        </w:pBdr>
        <w:rPr>
          <w:rFonts w:ascii="Times New Roman" w:hAnsi="Times New Roman"/>
          <w:sz w:val="28"/>
          <w:szCs w:val="28"/>
        </w:rPr>
      </w:pPr>
    </w:p>
    <w:p w14:paraId="729D0988" w14:textId="77777777" w:rsidR="00115918" w:rsidRDefault="00115918">
      <w:pPr>
        <w:rPr>
          <w:rFonts w:ascii="Times New Roman" w:hAnsi="Times New Roman"/>
          <w:sz w:val="28"/>
          <w:szCs w:val="28"/>
        </w:rPr>
      </w:pPr>
    </w:p>
    <w:p w14:paraId="0D838964" w14:textId="77777777" w:rsidR="00115918" w:rsidRDefault="00115918">
      <w:pPr>
        <w:rPr>
          <w:rFonts w:ascii="Times New Roman" w:hAnsi="Times New Roman"/>
          <w:b/>
          <w:bCs/>
          <w:sz w:val="28"/>
          <w:szCs w:val="28"/>
        </w:rPr>
      </w:pPr>
    </w:p>
    <w:p w14:paraId="0A3A72DC" w14:textId="77777777" w:rsidR="00115918" w:rsidRDefault="00115918">
      <w:pPr>
        <w:pageBreakBefore/>
        <w:rPr>
          <w:rFonts w:ascii="Times New Roman" w:hAnsi="Times New Roman"/>
          <w:b/>
          <w:bCs/>
          <w:sz w:val="28"/>
          <w:szCs w:val="28"/>
        </w:rPr>
      </w:pPr>
    </w:p>
    <w:p w14:paraId="7F5517DE" w14:textId="77777777" w:rsidR="00115918" w:rsidRDefault="00000000">
      <w:pPr>
        <w:pStyle w:val="En-ttedetabledesmatires1"/>
        <w:outlineLvl w:val="9"/>
      </w:pPr>
      <w:r>
        <w:rPr>
          <w:rFonts w:ascii="Times New Roman" w:hAnsi="Times New Roman"/>
          <w:b/>
          <w:bCs/>
          <w:color w:val="0E4C74"/>
          <w:lang w:val="fr-FR"/>
        </w:rPr>
        <w:t>Sommaire</w:t>
      </w:r>
    </w:p>
    <w:p w14:paraId="7E819775" w14:textId="77777777" w:rsidR="00115918" w:rsidRDefault="00115918">
      <w:pPr>
        <w:pStyle w:val="TM2"/>
      </w:pPr>
    </w:p>
    <w:p w14:paraId="4C9C4E6D" w14:textId="77777777" w:rsidR="00115918" w:rsidRDefault="00000000">
      <w:pPr>
        <w:pStyle w:val="TM2"/>
        <w:tabs>
          <w:tab w:val="right" w:leader="dot" w:pos="660"/>
        </w:tabs>
      </w:pPr>
      <w:r>
        <w:fldChar w:fldCharType="begin"/>
      </w:r>
      <w:r>
        <w:instrText xml:space="preserve"> TOC \o "1-3" \u \h </w:instrText>
      </w:r>
      <w:r>
        <w:fldChar w:fldCharType="separate"/>
      </w:r>
      <w:hyperlink r:id="rId8" w:history="1">
        <w:r>
          <w:rPr>
            <w:rStyle w:val="Lienhypertexte"/>
          </w:rPr>
          <w:t>INTRODUCTION</w:t>
        </w:r>
        <w:r>
          <w:tab/>
          <w:t>4</w:t>
        </w:r>
      </w:hyperlink>
    </w:p>
    <w:p w14:paraId="23798D3B" w14:textId="77777777" w:rsidR="00115918" w:rsidRDefault="00000000">
      <w:pPr>
        <w:pStyle w:val="TM2"/>
        <w:tabs>
          <w:tab w:val="right" w:leader="dot" w:pos="660"/>
        </w:tabs>
      </w:pPr>
      <w:hyperlink r:id="rId9" w:history="1">
        <w:r>
          <w:rPr>
            <w:rStyle w:val="Lienhypertexte"/>
          </w:rPr>
          <w:t>I.</w:t>
        </w:r>
        <w:r>
          <w:rPr>
            <w:rFonts w:ascii="Calibri" w:eastAsia="Times New Roman" w:hAnsi="Calibri"/>
            <w:b w:val="0"/>
            <w:bCs w:val="0"/>
            <w:kern w:val="3"/>
            <w:sz w:val="24"/>
            <w:szCs w:val="24"/>
            <w:lang w:eastAsia="fr-FR"/>
          </w:rPr>
          <w:tab/>
        </w:r>
        <w:r>
          <w:rPr>
            <w:rStyle w:val="Lienhypertexte"/>
          </w:rPr>
          <w:t>LES DIFFERENTES ZONES CONGESTIONNEES AU PORT D’ABIDJAN</w:t>
        </w:r>
        <w:r>
          <w:tab/>
          <w:t>6</w:t>
        </w:r>
      </w:hyperlink>
    </w:p>
    <w:p w14:paraId="092BDDEA" w14:textId="77777777" w:rsidR="00115918" w:rsidRDefault="00000000">
      <w:pPr>
        <w:pStyle w:val="TM2"/>
        <w:tabs>
          <w:tab w:val="right" w:leader="dot" w:pos="660"/>
        </w:tabs>
      </w:pPr>
      <w:hyperlink r:id="rId10" w:history="1">
        <w:r>
          <w:rPr>
            <w:rStyle w:val="Lienhypertexte"/>
          </w:rPr>
          <w:t>1.</w:t>
        </w:r>
        <w:r>
          <w:rPr>
            <w:rFonts w:ascii="Calibri" w:eastAsia="Times New Roman" w:hAnsi="Calibri"/>
            <w:b w:val="0"/>
            <w:bCs w:val="0"/>
            <w:kern w:val="3"/>
            <w:sz w:val="24"/>
            <w:szCs w:val="24"/>
            <w:lang w:eastAsia="fr-FR"/>
          </w:rPr>
          <w:tab/>
        </w:r>
        <w:r>
          <w:rPr>
            <w:rStyle w:val="Lienhypertexte"/>
          </w:rPr>
          <w:t>Etat des zones congestionnées dans le sens « aller »</w:t>
        </w:r>
        <w:r>
          <w:tab/>
          <w:t>6</w:t>
        </w:r>
      </w:hyperlink>
    </w:p>
    <w:p w14:paraId="72ED0670" w14:textId="77777777" w:rsidR="00115918" w:rsidRDefault="00000000">
      <w:pPr>
        <w:pStyle w:val="TM2"/>
        <w:tabs>
          <w:tab w:val="right" w:leader="dot" w:pos="660"/>
        </w:tabs>
      </w:pPr>
      <w:hyperlink r:id="rId11" w:history="1">
        <w:r>
          <w:rPr>
            <w:rStyle w:val="Lienhypertexte"/>
          </w:rPr>
          <w:t>2.</w:t>
        </w:r>
        <w:r>
          <w:rPr>
            <w:rFonts w:ascii="Calibri" w:eastAsia="Times New Roman" w:hAnsi="Calibri"/>
            <w:b w:val="0"/>
            <w:bCs w:val="0"/>
            <w:kern w:val="3"/>
            <w:sz w:val="24"/>
            <w:szCs w:val="24"/>
            <w:lang w:eastAsia="fr-FR"/>
          </w:rPr>
          <w:tab/>
        </w:r>
        <w:r>
          <w:rPr>
            <w:rStyle w:val="Lienhypertexte"/>
          </w:rPr>
          <w:t>Etat des zones congestionnées dans le sens « retour »</w:t>
        </w:r>
        <w:r>
          <w:tab/>
          <w:t>7</w:t>
        </w:r>
      </w:hyperlink>
    </w:p>
    <w:p w14:paraId="0A1CEBE1" w14:textId="77777777" w:rsidR="00115918" w:rsidRDefault="00000000">
      <w:pPr>
        <w:pStyle w:val="TM2"/>
        <w:tabs>
          <w:tab w:val="right" w:leader="dot" w:pos="660"/>
        </w:tabs>
      </w:pPr>
      <w:hyperlink r:id="rId12" w:history="1">
        <w:r>
          <w:rPr>
            <w:rStyle w:val="Lienhypertexte"/>
          </w:rPr>
          <w:t>II.</w:t>
        </w:r>
        <w:r>
          <w:rPr>
            <w:rFonts w:ascii="Calibri" w:eastAsia="Times New Roman" w:hAnsi="Calibri"/>
            <w:b w:val="0"/>
            <w:bCs w:val="0"/>
            <w:kern w:val="3"/>
            <w:sz w:val="24"/>
            <w:szCs w:val="24"/>
            <w:lang w:eastAsia="fr-FR"/>
          </w:rPr>
          <w:tab/>
        </w:r>
        <w:r>
          <w:rPr>
            <w:rStyle w:val="Lienhypertexte"/>
          </w:rPr>
          <w:t>EVALUATION DU TEMPS DE TRAVERSEE DE LA ZONE PORTUAIRE</w:t>
        </w:r>
        <w:r>
          <w:tab/>
          <w:t>7</w:t>
        </w:r>
      </w:hyperlink>
    </w:p>
    <w:p w14:paraId="1291CD84" w14:textId="77777777" w:rsidR="00115918" w:rsidRDefault="00000000">
      <w:pPr>
        <w:pStyle w:val="TM2"/>
        <w:tabs>
          <w:tab w:val="right" w:leader="dot" w:pos="660"/>
        </w:tabs>
      </w:pPr>
      <w:hyperlink r:id="rId13" w:history="1">
        <w:r>
          <w:rPr>
            <w:rStyle w:val="Lienhypertexte"/>
          </w:rPr>
          <w:t>1.</w:t>
        </w:r>
        <w:r>
          <w:rPr>
            <w:rFonts w:ascii="Calibri" w:eastAsia="Times New Roman" w:hAnsi="Calibri"/>
            <w:b w:val="0"/>
            <w:bCs w:val="0"/>
            <w:kern w:val="3"/>
            <w:sz w:val="24"/>
            <w:szCs w:val="24"/>
            <w:lang w:eastAsia="fr-FR"/>
          </w:rPr>
          <w:tab/>
        </w:r>
        <w:r>
          <w:rPr>
            <w:rStyle w:val="Lienhypertexte"/>
          </w:rPr>
          <w:t>Détermination du temps minimal de traversée</w:t>
        </w:r>
        <w:r>
          <w:tab/>
          <w:t>7</w:t>
        </w:r>
      </w:hyperlink>
    </w:p>
    <w:p w14:paraId="7E85EBF5" w14:textId="77777777" w:rsidR="00115918" w:rsidRDefault="00000000">
      <w:pPr>
        <w:pStyle w:val="TM3"/>
        <w:tabs>
          <w:tab w:val="right" w:leader="dot" w:pos="880"/>
        </w:tabs>
      </w:pPr>
      <w:hyperlink r:id="rId14" w:history="1">
        <w:r>
          <w:rPr>
            <w:rStyle w:val="Lienhypertexte"/>
            <w:rFonts w:ascii="Times New Roman" w:hAnsi="Times New Roman"/>
            <w:b/>
          </w:rPr>
          <w:t>A.</w:t>
        </w:r>
        <w:r>
          <w:rPr>
            <w:rFonts w:eastAsia="Times New Roman"/>
            <w:kern w:val="3"/>
            <w:sz w:val="24"/>
            <w:szCs w:val="24"/>
            <w:lang w:eastAsia="fr-FR"/>
          </w:rPr>
          <w:tab/>
        </w:r>
        <w:r>
          <w:rPr>
            <w:rStyle w:val="Lienhypertexte"/>
            <w:rFonts w:ascii="Times New Roman" w:hAnsi="Times New Roman"/>
            <w:b/>
          </w:rPr>
          <w:t>Axe « CARENA - Pharmacie Palm Beach »</w:t>
        </w:r>
        <w:r>
          <w:tab/>
          <w:t>7</w:t>
        </w:r>
      </w:hyperlink>
    </w:p>
    <w:p w14:paraId="72BA203E" w14:textId="77777777" w:rsidR="00115918" w:rsidRDefault="00000000">
      <w:pPr>
        <w:pStyle w:val="TM3"/>
        <w:tabs>
          <w:tab w:val="right" w:leader="dot" w:pos="880"/>
        </w:tabs>
      </w:pPr>
      <w:hyperlink r:id="rId15" w:history="1">
        <w:r>
          <w:rPr>
            <w:rStyle w:val="Lienhypertexte"/>
            <w:rFonts w:ascii="Times New Roman" w:hAnsi="Times New Roman"/>
            <w:b/>
          </w:rPr>
          <w:t>B.</w:t>
        </w:r>
        <w:r>
          <w:rPr>
            <w:rFonts w:eastAsia="Times New Roman"/>
            <w:kern w:val="3"/>
            <w:sz w:val="24"/>
            <w:szCs w:val="24"/>
            <w:lang w:eastAsia="fr-FR"/>
          </w:rPr>
          <w:tab/>
        </w:r>
        <w:r>
          <w:rPr>
            <w:rStyle w:val="Lienhypertexte"/>
            <w:rFonts w:ascii="Times New Roman" w:hAnsi="Times New Roman"/>
            <w:b/>
          </w:rPr>
          <w:t>Axe « Toyota CFAO - Pharmacie Palm Beach »</w:t>
        </w:r>
        <w:r>
          <w:tab/>
          <w:t>9</w:t>
        </w:r>
      </w:hyperlink>
    </w:p>
    <w:p w14:paraId="6973EFAB" w14:textId="77777777" w:rsidR="00115918" w:rsidRDefault="00000000">
      <w:pPr>
        <w:pStyle w:val="TM3"/>
        <w:tabs>
          <w:tab w:val="right" w:leader="dot" w:pos="880"/>
        </w:tabs>
      </w:pPr>
      <w:hyperlink r:id="rId16" w:history="1">
        <w:r>
          <w:rPr>
            <w:rStyle w:val="Lienhypertexte"/>
            <w:rFonts w:ascii="Times New Roman" w:hAnsi="Times New Roman"/>
            <w:b/>
          </w:rPr>
          <w:t>C.</w:t>
        </w:r>
        <w:r>
          <w:rPr>
            <w:rFonts w:eastAsia="Times New Roman"/>
            <w:kern w:val="3"/>
            <w:sz w:val="24"/>
            <w:szCs w:val="24"/>
            <w:lang w:eastAsia="fr-FR"/>
          </w:rPr>
          <w:tab/>
        </w:r>
        <w:r>
          <w:rPr>
            <w:rStyle w:val="Lienhypertexte"/>
            <w:rFonts w:ascii="Times New Roman" w:hAnsi="Times New Roman"/>
            <w:b/>
          </w:rPr>
          <w:t>Axe « Agence SODECI - Pharmacie Palm Beach »</w:t>
        </w:r>
        <w:r>
          <w:tab/>
          <w:t>10</w:t>
        </w:r>
      </w:hyperlink>
    </w:p>
    <w:p w14:paraId="1FBE6AC9" w14:textId="77777777" w:rsidR="00115918" w:rsidRDefault="00000000">
      <w:pPr>
        <w:pStyle w:val="TM2"/>
        <w:tabs>
          <w:tab w:val="right" w:leader="dot" w:pos="660"/>
        </w:tabs>
      </w:pPr>
      <w:hyperlink r:id="rId17" w:history="1">
        <w:r>
          <w:rPr>
            <w:rStyle w:val="Lienhypertexte"/>
          </w:rPr>
          <w:t>2.</w:t>
        </w:r>
        <w:r>
          <w:rPr>
            <w:rFonts w:ascii="Calibri" w:eastAsia="Times New Roman" w:hAnsi="Calibri"/>
            <w:b w:val="0"/>
            <w:bCs w:val="0"/>
            <w:kern w:val="3"/>
            <w:sz w:val="24"/>
            <w:szCs w:val="24"/>
            <w:lang w:eastAsia="fr-FR"/>
          </w:rPr>
          <w:tab/>
        </w:r>
        <w:r>
          <w:rPr>
            <w:rStyle w:val="Lienhypertexte"/>
          </w:rPr>
          <w:t>Détermination du temps moyen de traversée</w:t>
        </w:r>
        <w:r>
          <w:tab/>
          <w:t>13</w:t>
        </w:r>
      </w:hyperlink>
    </w:p>
    <w:p w14:paraId="67135791" w14:textId="77777777" w:rsidR="00115918" w:rsidRDefault="00000000">
      <w:pPr>
        <w:pStyle w:val="TM3"/>
        <w:tabs>
          <w:tab w:val="right" w:leader="dot" w:pos="880"/>
        </w:tabs>
      </w:pPr>
      <w:hyperlink r:id="rId18" w:history="1">
        <w:r>
          <w:rPr>
            <w:rStyle w:val="Lienhypertexte"/>
            <w:rFonts w:ascii="Times New Roman" w:hAnsi="Times New Roman"/>
            <w:b/>
          </w:rPr>
          <w:t>A.</w:t>
        </w:r>
        <w:r>
          <w:rPr>
            <w:rFonts w:eastAsia="Times New Roman"/>
            <w:kern w:val="3"/>
            <w:sz w:val="24"/>
            <w:szCs w:val="24"/>
            <w:lang w:eastAsia="fr-FR"/>
          </w:rPr>
          <w:tab/>
        </w:r>
        <w:r>
          <w:rPr>
            <w:rStyle w:val="Lienhypertexte"/>
            <w:rFonts w:ascii="Times New Roman" w:hAnsi="Times New Roman"/>
            <w:b/>
          </w:rPr>
          <w:t>Axe « CARENA - Pharmacie Palm Beach »</w:t>
        </w:r>
        <w:r>
          <w:tab/>
          <w:t>13</w:t>
        </w:r>
      </w:hyperlink>
    </w:p>
    <w:p w14:paraId="6C133881" w14:textId="77777777" w:rsidR="00115918" w:rsidRDefault="00000000">
      <w:pPr>
        <w:pStyle w:val="TM3"/>
        <w:tabs>
          <w:tab w:val="right" w:leader="dot" w:pos="880"/>
        </w:tabs>
      </w:pPr>
      <w:hyperlink r:id="rId19" w:history="1">
        <w:r>
          <w:rPr>
            <w:rStyle w:val="Lienhypertexte"/>
            <w:rFonts w:ascii="Times New Roman" w:hAnsi="Times New Roman"/>
            <w:b/>
          </w:rPr>
          <w:t>B.</w:t>
        </w:r>
        <w:r>
          <w:rPr>
            <w:rFonts w:eastAsia="Times New Roman"/>
            <w:kern w:val="3"/>
            <w:sz w:val="24"/>
            <w:szCs w:val="24"/>
            <w:lang w:eastAsia="fr-FR"/>
          </w:rPr>
          <w:tab/>
        </w:r>
        <w:r>
          <w:rPr>
            <w:rStyle w:val="Lienhypertexte"/>
            <w:rFonts w:ascii="Times New Roman" w:hAnsi="Times New Roman"/>
            <w:b/>
          </w:rPr>
          <w:t>Axe « Toyota CFAO - Pharmacie Palm Beach »</w:t>
        </w:r>
        <w:r>
          <w:tab/>
          <w:t>14</w:t>
        </w:r>
      </w:hyperlink>
    </w:p>
    <w:p w14:paraId="386B9D1B" w14:textId="77777777" w:rsidR="00115918" w:rsidRDefault="00000000">
      <w:pPr>
        <w:pStyle w:val="TM3"/>
        <w:tabs>
          <w:tab w:val="right" w:leader="dot" w:pos="880"/>
        </w:tabs>
      </w:pPr>
      <w:hyperlink r:id="rId20" w:history="1">
        <w:r>
          <w:rPr>
            <w:rStyle w:val="Lienhypertexte"/>
            <w:rFonts w:ascii="Times New Roman" w:hAnsi="Times New Roman"/>
            <w:b/>
          </w:rPr>
          <w:t>C.</w:t>
        </w:r>
        <w:r>
          <w:rPr>
            <w:rFonts w:eastAsia="Times New Roman"/>
            <w:kern w:val="3"/>
            <w:sz w:val="24"/>
            <w:szCs w:val="24"/>
            <w:lang w:eastAsia="fr-FR"/>
          </w:rPr>
          <w:tab/>
        </w:r>
        <w:r>
          <w:rPr>
            <w:rStyle w:val="Lienhypertexte"/>
            <w:rFonts w:ascii="Times New Roman" w:hAnsi="Times New Roman"/>
            <w:b/>
          </w:rPr>
          <w:t>Axe « Agence SODECI - Pharmacie Palm Beach »</w:t>
        </w:r>
        <w:r>
          <w:tab/>
          <w:t>15</w:t>
        </w:r>
      </w:hyperlink>
    </w:p>
    <w:p w14:paraId="1376F28C" w14:textId="77777777" w:rsidR="00115918" w:rsidRDefault="00000000">
      <w:pPr>
        <w:pStyle w:val="TM2"/>
        <w:tabs>
          <w:tab w:val="right" w:leader="dot" w:pos="660"/>
        </w:tabs>
      </w:pPr>
      <w:hyperlink r:id="rId21" w:history="1">
        <w:r>
          <w:rPr>
            <w:rStyle w:val="Lienhypertexte"/>
          </w:rPr>
          <w:t>3.</w:t>
        </w:r>
        <w:r>
          <w:rPr>
            <w:rFonts w:ascii="Calibri" w:eastAsia="Times New Roman" w:hAnsi="Calibri"/>
            <w:b w:val="0"/>
            <w:bCs w:val="0"/>
            <w:kern w:val="3"/>
            <w:sz w:val="24"/>
            <w:szCs w:val="24"/>
            <w:lang w:eastAsia="fr-FR"/>
          </w:rPr>
          <w:tab/>
        </w:r>
        <w:r>
          <w:rPr>
            <w:rStyle w:val="Lienhypertexte"/>
          </w:rPr>
          <w:t>Détermination du temps maximal de traversée</w:t>
        </w:r>
        <w:r>
          <w:tab/>
          <w:t>16</w:t>
        </w:r>
      </w:hyperlink>
    </w:p>
    <w:p w14:paraId="5543A140" w14:textId="77777777" w:rsidR="00115918" w:rsidRDefault="00000000">
      <w:pPr>
        <w:pStyle w:val="TM3"/>
        <w:tabs>
          <w:tab w:val="right" w:leader="dot" w:pos="880"/>
        </w:tabs>
      </w:pPr>
      <w:hyperlink r:id="rId22" w:history="1">
        <w:r>
          <w:rPr>
            <w:rStyle w:val="Lienhypertexte"/>
            <w:rFonts w:ascii="Times New Roman" w:hAnsi="Times New Roman"/>
            <w:b/>
          </w:rPr>
          <w:t>A.</w:t>
        </w:r>
        <w:r>
          <w:rPr>
            <w:rFonts w:eastAsia="Times New Roman"/>
            <w:kern w:val="3"/>
            <w:sz w:val="24"/>
            <w:szCs w:val="24"/>
            <w:lang w:eastAsia="fr-FR"/>
          </w:rPr>
          <w:tab/>
        </w:r>
        <w:r>
          <w:rPr>
            <w:rStyle w:val="Lienhypertexte"/>
            <w:rFonts w:ascii="Times New Roman" w:hAnsi="Times New Roman"/>
            <w:b/>
          </w:rPr>
          <w:t>Axe « CARENA - Pharmacie Palm Beach »</w:t>
        </w:r>
        <w:r>
          <w:tab/>
          <w:t>16</w:t>
        </w:r>
      </w:hyperlink>
    </w:p>
    <w:p w14:paraId="1E8DFD87" w14:textId="77777777" w:rsidR="00115918" w:rsidRDefault="00000000">
      <w:pPr>
        <w:pStyle w:val="TM3"/>
        <w:tabs>
          <w:tab w:val="right" w:leader="dot" w:pos="880"/>
        </w:tabs>
      </w:pPr>
      <w:hyperlink r:id="rId23" w:history="1">
        <w:r>
          <w:rPr>
            <w:rStyle w:val="Lienhypertexte"/>
            <w:rFonts w:ascii="Times New Roman" w:hAnsi="Times New Roman"/>
            <w:b/>
          </w:rPr>
          <w:t>B.</w:t>
        </w:r>
        <w:r>
          <w:rPr>
            <w:rFonts w:eastAsia="Times New Roman"/>
            <w:kern w:val="3"/>
            <w:sz w:val="24"/>
            <w:szCs w:val="24"/>
            <w:lang w:eastAsia="fr-FR"/>
          </w:rPr>
          <w:tab/>
        </w:r>
        <w:r>
          <w:rPr>
            <w:rStyle w:val="Lienhypertexte"/>
            <w:rFonts w:ascii="Times New Roman" w:hAnsi="Times New Roman"/>
            <w:b/>
          </w:rPr>
          <w:t>Axe « Toyota CFAO - Pharmacie Palm Beach »</w:t>
        </w:r>
        <w:r>
          <w:tab/>
          <w:t>18</w:t>
        </w:r>
      </w:hyperlink>
    </w:p>
    <w:p w14:paraId="4843DF63" w14:textId="77777777" w:rsidR="00115918" w:rsidRDefault="00000000">
      <w:pPr>
        <w:pStyle w:val="TM3"/>
        <w:tabs>
          <w:tab w:val="right" w:leader="dot" w:pos="880"/>
        </w:tabs>
      </w:pPr>
      <w:hyperlink r:id="rId24" w:history="1">
        <w:r>
          <w:rPr>
            <w:rStyle w:val="Lienhypertexte"/>
            <w:rFonts w:ascii="Times New Roman" w:hAnsi="Times New Roman"/>
            <w:b/>
          </w:rPr>
          <w:t>C.</w:t>
        </w:r>
        <w:r>
          <w:rPr>
            <w:rFonts w:eastAsia="Times New Roman"/>
            <w:kern w:val="3"/>
            <w:sz w:val="24"/>
            <w:szCs w:val="24"/>
            <w:lang w:eastAsia="fr-FR"/>
          </w:rPr>
          <w:tab/>
        </w:r>
        <w:r>
          <w:rPr>
            <w:rStyle w:val="Lienhypertexte"/>
            <w:rFonts w:ascii="Times New Roman" w:hAnsi="Times New Roman"/>
            <w:b/>
          </w:rPr>
          <w:t>Axe « Agence SODECI - Pharmacie Palm Beach »</w:t>
        </w:r>
        <w:r>
          <w:tab/>
          <w:t>19</w:t>
        </w:r>
      </w:hyperlink>
    </w:p>
    <w:p w14:paraId="6EDDAD68" w14:textId="77777777" w:rsidR="00115918" w:rsidRDefault="00000000">
      <w:pPr>
        <w:pStyle w:val="TM2"/>
        <w:tabs>
          <w:tab w:val="right" w:leader="dot" w:pos="660"/>
        </w:tabs>
      </w:pPr>
      <w:hyperlink r:id="rId25" w:history="1">
        <w:r>
          <w:rPr>
            <w:rStyle w:val="Lienhypertexte"/>
          </w:rPr>
          <w:t>CONCLUSION ET RECOMMANDATIONS</w:t>
        </w:r>
        <w:r>
          <w:tab/>
          <w:t>22</w:t>
        </w:r>
      </w:hyperlink>
    </w:p>
    <w:p w14:paraId="495263D2" w14:textId="77777777" w:rsidR="00115918" w:rsidRDefault="00000000">
      <w:pPr>
        <w:pStyle w:val="TM2"/>
        <w:tabs>
          <w:tab w:val="right" w:leader="dot" w:pos="660"/>
        </w:tabs>
      </w:pPr>
      <w:hyperlink r:id="rId26" w:history="1">
        <w:r>
          <w:rPr>
            <w:rStyle w:val="Lienhypertexte"/>
          </w:rPr>
          <w:t>ANNEXES</w:t>
        </w:r>
        <w:r>
          <w:tab/>
        </w:r>
        <w:bookmarkStart w:id="0" w:name="_Hlt234055847"/>
        <w:bookmarkStart w:id="1" w:name="_Hlt234055848"/>
        <w:r>
          <w:t>25</w:t>
        </w:r>
        <w:bookmarkEnd w:id="0"/>
        <w:bookmarkEnd w:id="1"/>
      </w:hyperlink>
    </w:p>
    <w:p w14:paraId="78CC3EA3" w14:textId="77777777" w:rsidR="00115918" w:rsidRDefault="00000000">
      <w:r>
        <w:rPr>
          <w:rFonts w:ascii="Times New Roman" w:hAnsi="Times New Roman"/>
          <w:b/>
          <w:bCs/>
          <w:lang w:val="fr-FR"/>
        </w:rPr>
        <w:fldChar w:fldCharType="end"/>
      </w:r>
    </w:p>
    <w:p>
      <w:r>
        <w:br w:type="page"/>
      </w:r>
    </w:p>
    <w:p>
      <w:pPr>
        <w:pStyle w:val="Titre1"/>
        <w:spacing w:before="360" w:after="200"/>
      </w:pPr>
      <w:r>
        <w:rPr>
          <w:rFonts w:ascii="Garamond" w:hAnsi="Garamond"/>
        </w:rPr>
        <w:t>RESUME EXECUTIF</w:t>
      </w:r>
    </w:p>
    <w:p>
      <w:pPr>
        <w:spacing w:after="160" w:line="276" w:lineRule="auto"/>
        <w:jc w:val="both"/>
      </w:pPr>
      <w:r>
        <w:rPr>
          <w:rFonts w:ascii="Garamond" w:hAnsi="Garamond"/>
          <w:b w:val="0"/>
          <w:i w:val="0"/>
          <w:sz w:val="24"/>
        </w:rPr>
        <w:t>FlowPort est un système complet de surveillance, d'analyse et d'anticipation du trafic routier de la zone portuaire d'Abidjan, développé pour la Direction des Études Économiques, de la Stratégie et de la Planification (DEESP) du Port Autonome d'Abidjan (PAA). Il mesure automatiquement, toutes les 5 minutes et 24 h/24, le temps de traversée des trois axes stratégiques d'accès au port dans les deux sens de circulation, qualifie chaque mesure sur une grille de cinq niveaux de congestion, et restitue l'information sous quatre formes complémentaires : un tableau de bord cartographique public en temps réel, des analyses graphiques historiques, des rapports officiels téléchargeables (PDF, Word, Excel) et des notifications par email (alertes de congestion, pré-alertes prédictives, récapitulatif quotidien, bilan hebdomadaire).</w:t>
      </w:r>
    </w:p>
    <w:p>
      <w:pPr>
        <w:spacing w:after="160" w:line="276" w:lineRule="auto"/>
        <w:jc w:val="both"/>
      </w:pPr>
      <w:r>
        <w:rPr>
          <w:rFonts w:ascii="Garamond" w:hAnsi="Garamond"/>
          <w:b w:val="0"/>
          <w:i w:val="0"/>
          <w:sz w:val="24"/>
        </w:rPr>
        <w:t>Le système embarque un assistant d'intelligence artificielle conversationnel connecté aux données réelles, un modèle prédictif entraîné sur des mesures de terrain, un dispositif d'auto-calibrage des références sur les relevés récents, et une console d'administration complète permettant la gestion visuelle des axes, tronçons, seuils, utilisateurs et destinataires de notifications — sans intervention technique. L'application est installable comme application native (PWA) sur ordinateur et téléphone, fonctionne sur une infrastructure entièrement gratuite (Firebase, GitHub Actions, TomTom, Google, Groq, Brevo), et sa base de mesures s'enrichit en continu d'environ 1 700 relevés réels par jour.</w:t>
      </w:r>
    </w:p>
    <w:p>
      <w:pPr>
        <w:pStyle w:val="Titre1"/>
        <w:spacing w:before="360" w:after="200"/>
      </w:pPr>
      <w:r>
        <w:rPr>
          <w:rFonts w:ascii="Garamond" w:hAnsi="Garamond"/>
        </w:rPr>
        <w:t>INTRODUCTION ET CONTEXTE</w:t>
      </w:r>
    </w:p>
    <w:p>
      <w:pPr>
        <w:pStyle w:val="Titre2"/>
        <w:spacing w:before="280" w:after="160"/>
      </w:pPr>
      <w:r>
        <w:rPr>
          <w:rFonts w:ascii="Garamond" w:hAnsi="Garamond"/>
        </w:rPr>
        <w:t>1. Le problème adressé</w:t>
      </w:r>
    </w:p>
    <w:p>
      <w:pPr>
        <w:spacing w:after="160" w:line="276" w:lineRule="auto"/>
        <w:jc w:val="both"/>
      </w:pPr>
      <w:r>
        <w:rPr>
          <w:rFonts w:ascii="Garamond" w:hAnsi="Garamond"/>
          <w:b w:val="0"/>
          <w:i w:val="0"/>
          <w:sz w:val="24"/>
        </w:rPr>
        <w:t>Le Port Autonome d'Abidjan est la principale porte d'entrée maritime de la Côte d'Ivoire et un maillon essentiel des chaînes logistiques de la sous-région ouest-africaine. La fluidité de la circulation routière dans la zone portuaire conditionne directement la performance des opérations : un axe congestionné retarde les rotations de camions, allonge les délais de livraison, renchérit les coûts des opérateurs économiques et dégrade la compétitivité du port. Or, avant FlowPort, la connaissance de l'état du trafic reposait sur des constats ponctuels et des remontées informelles : pas de mesure continue, pas d'historique exploitable, pas d'alerte proactive.</w:t>
      </w:r>
    </w:p>
    <w:p>
      <w:pPr>
        <w:pStyle w:val="Titre2"/>
        <w:spacing w:before="280" w:after="160"/>
      </w:pPr>
      <w:r>
        <w:rPr>
          <w:rFonts w:ascii="Garamond" w:hAnsi="Garamond"/>
        </w:rPr>
        <w:t>2. La réponse FlowPort</w:t>
      </w:r>
    </w:p>
    <w:p>
      <w:pPr>
        <w:spacing w:after="160" w:line="276" w:lineRule="auto"/>
        <w:jc w:val="both"/>
      </w:pPr>
      <w:r>
        <w:rPr>
          <w:rFonts w:ascii="Garamond" w:hAnsi="Garamond"/>
          <w:b w:val="0"/>
          <w:i w:val="0"/>
          <w:sz w:val="24"/>
        </w:rPr>
        <w:t xml:space="preserve">FlowPort transforme cette situation en instrumentant les trois axes stratégiques définis avec la DEESP (document officiel des tronçons routiers). Le système répond à quatre besoins opérationnels : </w:t>
      </w:r>
      <w:r>
        <w:rPr>
          <w:rFonts w:ascii="Garamond" w:hAnsi="Garamond"/>
          <w:b/>
          <w:i w:val="0"/>
          <w:sz w:val="24"/>
        </w:rPr>
        <w:t>voir</w:t>
      </w:r>
      <w:r>
        <w:rPr>
          <w:rFonts w:ascii="Garamond" w:hAnsi="Garamond"/>
          <w:b w:val="0"/>
          <w:i w:val="0"/>
          <w:sz w:val="24"/>
        </w:rPr>
        <w:t xml:space="preserve"> (l'état du réseau en un coup d'œil, en temps réel), </w:t>
      </w:r>
      <w:r>
        <w:rPr>
          <w:rFonts w:ascii="Garamond" w:hAnsi="Garamond"/>
          <w:b/>
          <w:i w:val="0"/>
          <w:sz w:val="24"/>
        </w:rPr>
        <w:t>comprendre</w:t>
      </w:r>
      <w:r>
        <w:rPr>
          <w:rFonts w:ascii="Garamond" w:hAnsi="Garamond"/>
          <w:b w:val="0"/>
          <w:i w:val="0"/>
          <w:sz w:val="24"/>
        </w:rPr>
        <w:t xml:space="preserve"> (les tendances, les heures de pointe, les comparaisons entre axes), </w:t>
      </w:r>
      <w:r>
        <w:rPr>
          <w:rFonts w:ascii="Garamond" w:hAnsi="Garamond"/>
          <w:b/>
          <w:i w:val="0"/>
          <w:sz w:val="24"/>
        </w:rPr>
        <w:t>anticiper</w:t>
      </w:r>
      <w:r>
        <w:rPr>
          <w:rFonts w:ascii="Garamond" w:hAnsi="Garamond"/>
          <w:b w:val="0"/>
          <w:i w:val="0"/>
          <w:sz w:val="24"/>
        </w:rPr>
        <w:t xml:space="preserve"> (prévisions horaires, pré-alertes) et </w:t>
      </w:r>
      <w:r>
        <w:rPr>
          <w:rFonts w:ascii="Garamond" w:hAnsi="Garamond"/>
          <w:b/>
          <w:i w:val="0"/>
          <w:sz w:val="24"/>
        </w:rPr>
        <w:t>rendre compte</w:t>
      </w:r>
      <w:r>
        <w:rPr>
          <w:rFonts w:ascii="Garamond" w:hAnsi="Garamond"/>
          <w:b w:val="0"/>
          <w:i w:val="0"/>
          <w:sz w:val="24"/>
        </w:rPr>
        <w:t xml:space="preserve"> (rapports officiels au gabarit DEESP, exports de données, traçabilité).</w:t>
      </w:r>
    </w:p>
    <w:p>
      <w:pPr>
        <w:pStyle w:val="Titre2"/>
        <w:spacing w:before="280" w:after="160"/>
      </w:pPr>
      <w:r>
        <w:rPr>
          <w:rFonts w:ascii="Garamond" w:hAnsi="Garamond"/>
        </w:rPr>
        <w:t>3. Les axes surveillés</w:t>
      </w:r>
    </w:p>
    <w:p>
      <w:pPr>
        <w:spacing w:after="80" w:line="276" w:lineRule="auto"/>
        <w:jc w:val="left"/>
      </w:pPr>
      <w:r>
        <w:rPr>
          <w:rFonts w:ascii="Garamond" w:hAnsi="Garamond"/>
          <w:b w:val="0"/>
          <w:i/>
          <w:color w:val="595959"/>
          <w:sz w:val="20"/>
        </w:rPr>
        <w:t>Tableau 1 — Les trois axes bidirectionnels surveillés (référence : document PortFlow_Tronçons, DEESP). Les temps de référence sont recalibrables depuis la console d’administration.</w:t>
      </w:r>
    </w:p>
    <w:tbl>
      <w:tblPr>
        <w:tblW w:type="auto" w:w="0"/>
        <w:tblLayout w:type="autofit"/>
        <w:tblLook w:firstColumn="1" w:firstRow="1" w:lastColumn="0" w:lastRow="0" w:noHBand="0" w:noVBand="1" w:val="04A0"/>
        <w:tblBorders>
          <w:top w:val="single" w:sz="4" w:color="B9CDDC"/>
          <w:left w:val="single" w:sz="4" w:color="B9CDDC"/>
          <w:bottom w:val="single" w:sz="4" w:color="B9CDDC"/>
          <w:right w:val="single" w:sz="4" w:color="B9CDDC"/>
          <w:insideH w:val="single" w:sz="4" w:color="B9CDDC"/>
          <w:insideV w:val="single" w:sz="4" w:color="B9CDDC"/>
        </w:tblBorders>
      </w:tblPr>
      <w:tblGrid>
        <w:gridCol w:w="2268"/>
        <w:gridCol w:w="2268"/>
        <w:gridCol w:w="2268"/>
        <w:gridCol w:w="2268"/>
      </w:tblGrid>
      <w:tr>
        <w:tc>
          <w:tcPr>
            <w:tcW w:type="dxa" w:w="2268"/>
            <w:shd w:val="clear" w:fill="0E4C74"/>
          </w:tcPr>
          <w:p>
            <w:pPr>
              <w:jc w:val="center"/>
            </w:pPr>
            <w:r>
              <w:rPr>
                <w:rFonts w:ascii="Garamond" w:hAnsi="Garamond"/>
                <w:b/>
                <w:i w:val="0"/>
                <w:color w:val="FFFFFF"/>
                <w:sz w:val="20"/>
              </w:rPr>
              <w:t>Axe</w:t>
            </w:r>
          </w:p>
        </w:tc>
        <w:tc>
          <w:tcPr>
            <w:tcW w:type="dxa" w:w="2268"/>
            <w:shd w:val="clear" w:fill="0E4C74"/>
          </w:tcPr>
          <w:p>
            <w:pPr>
              <w:jc w:val="center"/>
            </w:pPr>
            <w:r>
              <w:rPr>
                <w:rFonts w:ascii="Garamond" w:hAnsi="Garamond"/>
                <w:b/>
                <w:i w:val="0"/>
                <w:color w:val="FFFFFF"/>
                <w:sz w:val="20"/>
              </w:rPr>
              <w:t>Itinéraire officiel</w:t>
            </w:r>
          </w:p>
        </w:tc>
        <w:tc>
          <w:tcPr>
            <w:tcW w:type="dxa" w:w="2268"/>
            <w:shd w:val="clear" w:fill="0E4C74"/>
          </w:tcPr>
          <w:p>
            <w:pPr>
              <w:jc w:val="center"/>
            </w:pPr>
            <w:r>
              <w:rPr>
                <w:rFonts w:ascii="Garamond" w:hAnsi="Garamond"/>
                <w:b/>
                <w:i w:val="0"/>
                <w:color w:val="FFFFFF"/>
                <w:sz w:val="20"/>
              </w:rPr>
              <w:t>Distance</w:t>
            </w:r>
          </w:p>
        </w:tc>
        <w:tc>
          <w:tcPr>
            <w:tcW w:type="dxa" w:w="2268"/>
            <w:shd w:val="clear" w:fill="0E4C74"/>
          </w:tcPr>
          <w:p>
            <w:pPr>
              <w:jc w:val="center"/>
            </w:pPr>
            <w:r>
              <w:rPr>
                <w:rFonts w:ascii="Garamond" w:hAnsi="Garamond"/>
                <w:b/>
                <w:i w:val="0"/>
                <w:color w:val="FFFFFF"/>
                <w:sz w:val="20"/>
              </w:rPr>
              <w:t>Temps de référence</w:t>
            </w:r>
          </w:p>
        </w:tc>
      </w:tr>
      <w:tr>
        <w:tc>
          <w:tcPr>
            <w:tcW w:type="dxa" w:w="2268"/>
          </w:tcPr>
          <w:p>
            <w:pPr>
              <w:jc w:val="left"/>
            </w:pPr>
            <w:r>
              <w:rPr>
                <w:rFonts w:ascii="Garamond" w:hAnsi="Garamond"/>
                <w:b/>
                <w:i w:val="0"/>
                <w:sz w:val="20"/>
              </w:rPr>
              <w:t>CARENA</w:t>
            </w:r>
          </w:p>
        </w:tc>
        <w:tc>
          <w:tcPr>
            <w:tcW w:type="dxa" w:w="2268"/>
          </w:tcPr>
          <w:p>
            <w:pPr>
              <w:jc w:val="left"/>
            </w:pPr>
            <w:r>
              <w:rPr>
                <w:rFonts w:ascii="Garamond" w:hAnsi="Garamond"/>
                <w:b w:val="0"/>
                <w:i w:val="0"/>
                <w:sz w:val="20"/>
              </w:rPr>
              <w:t>CARENA → GMA → Commissariat spécial → CIMIVOIRE → Seamen’s club → Pharmacie du port → Unilever → ATC → SGBCI → DGI → Gare Sotra → Lybia oil → Pharmacie Palm Beach</w:t>
            </w:r>
          </w:p>
        </w:tc>
        <w:tc>
          <w:tcPr>
            <w:tcW w:type="dxa" w:w="2268"/>
          </w:tcPr>
          <w:p>
            <w:pPr>
              <w:jc w:val="right"/>
            </w:pPr>
            <w:r>
              <w:rPr>
                <w:rFonts w:ascii="Garamond" w:hAnsi="Garamond"/>
                <w:b w:val="0"/>
                <w:i w:val="0"/>
                <w:sz w:val="20"/>
              </w:rPr>
              <w:t>11,9 km</w:t>
            </w:r>
          </w:p>
        </w:tc>
        <w:tc>
          <w:tcPr>
            <w:tcW w:type="dxa" w:w="2268"/>
          </w:tcPr>
          <w:p>
            <w:pPr>
              <w:jc w:val="right"/>
            </w:pPr>
            <w:r>
              <w:rPr>
                <w:rFonts w:ascii="Garamond" w:hAnsi="Garamond"/>
                <w:b w:val="0"/>
                <w:i w:val="0"/>
                <w:sz w:val="20"/>
              </w:rPr>
              <w:t>27,4 min</w:t>
            </w:r>
          </w:p>
        </w:tc>
      </w:tr>
      <w:tr>
        <w:tc>
          <w:tcPr>
            <w:tcW w:type="dxa" w:w="2268"/>
            <w:shd w:val="clear" w:fill="E8F3FA"/>
          </w:tcPr>
          <w:p>
            <w:pPr>
              <w:jc w:val="left"/>
            </w:pPr>
            <w:r>
              <w:rPr>
                <w:rFonts w:ascii="Garamond" w:hAnsi="Garamond"/>
                <w:b/>
                <w:i w:val="0"/>
                <w:sz w:val="20"/>
              </w:rPr>
              <w:t>Toyota CFAO</w:t>
            </w:r>
          </w:p>
        </w:tc>
        <w:tc>
          <w:tcPr>
            <w:tcW w:type="dxa" w:w="2268"/>
            <w:shd w:val="clear" w:fill="E8F3FA"/>
          </w:tcPr>
          <w:p>
            <w:pPr>
              <w:jc w:val="left"/>
            </w:pPr>
            <w:r>
              <w:rPr>
                <w:rFonts w:ascii="Garamond" w:hAnsi="Garamond"/>
                <w:b w:val="0"/>
                <w:i w:val="0"/>
                <w:sz w:val="20"/>
              </w:rPr>
              <w:t>Toyota CFAO → Carrefour Seamen’s club → Point 1 → Point 2 → Pharmacie Palm Beach</w:t>
            </w:r>
          </w:p>
        </w:tc>
        <w:tc>
          <w:tcPr>
            <w:tcW w:type="dxa" w:w="2268"/>
            <w:shd w:val="clear" w:fill="E8F3FA"/>
          </w:tcPr>
          <w:p>
            <w:pPr>
              <w:jc w:val="right"/>
            </w:pPr>
            <w:r>
              <w:rPr>
                <w:rFonts w:ascii="Garamond" w:hAnsi="Garamond"/>
                <w:b w:val="0"/>
                <w:i w:val="0"/>
                <w:sz w:val="20"/>
              </w:rPr>
              <w:t>7,0 km</w:t>
            </w:r>
          </w:p>
        </w:tc>
        <w:tc>
          <w:tcPr>
            <w:tcW w:type="dxa" w:w="2268"/>
            <w:shd w:val="clear" w:fill="E8F3FA"/>
          </w:tcPr>
          <w:p>
            <w:pPr>
              <w:jc w:val="right"/>
            </w:pPr>
            <w:r>
              <w:rPr>
                <w:rFonts w:ascii="Garamond" w:hAnsi="Garamond"/>
                <w:b w:val="0"/>
                <w:i w:val="0"/>
                <w:sz w:val="20"/>
              </w:rPr>
              <w:t>16,9 min</w:t>
            </w:r>
          </w:p>
        </w:tc>
      </w:tr>
      <w:tr>
        <w:tc>
          <w:tcPr>
            <w:tcW w:type="dxa" w:w="2268"/>
          </w:tcPr>
          <w:p>
            <w:pPr>
              <w:jc w:val="left"/>
            </w:pPr>
            <w:r>
              <w:rPr>
                <w:rFonts w:ascii="Garamond" w:hAnsi="Garamond"/>
                <w:b/>
                <w:i w:val="0"/>
                <w:sz w:val="20"/>
              </w:rPr>
              <w:t>Agence SODECI</w:t>
            </w:r>
          </w:p>
        </w:tc>
        <w:tc>
          <w:tcPr>
            <w:tcW w:type="dxa" w:w="2268"/>
          </w:tcPr>
          <w:p>
            <w:pPr>
              <w:jc w:val="left"/>
            </w:pPr>
            <w:r>
              <w:rPr>
                <w:rFonts w:ascii="Garamond" w:hAnsi="Garamond"/>
                <w:b w:val="0"/>
                <w:i w:val="0"/>
                <w:sz w:val="20"/>
              </w:rPr>
              <w:t>Agence SODECI → Point 3 → ATC Comafrique → Pharmacie Palm Beach</w:t>
            </w:r>
          </w:p>
        </w:tc>
        <w:tc>
          <w:tcPr>
            <w:tcW w:type="dxa" w:w="2268"/>
          </w:tcPr>
          <w:p>
            <w:pPr>
              <w:jc w:val="right"/>
            </w:pPr>
            <w:r>
              <w:rPr>
                <w:rFonts w:ascii="Garamond" w:hAnsi="Garamond"/>
                <w:b w:val="0"/>
                <w:i w:val="0"/>
                <w:sz w:val="20"/>
              </w:rPr>
              <w:t>10,9 km</w:t>
            </w:r>
          </w:p>
        </w:tc>
        <w:tc>
          <w:tcPr>
            <w:tcW w:type="dxa" w:w="2268"/>
          </w:tcPr>
          <w:p>
            <w:pPr>
              <w:jc w:val="right"/>
            </w:pPr>
            <w:r>
              <w:rPr>
                <w:rFonts w:ascii="Garamond" w:hAnsi="Garamond"/>
                <w:b w:val="0"/>
                <w:i w:val="0"/>
                <w:sz w:val="20"/>
              </w:rPr>
              <w:t>22,0 min</w:t>
            </w:r>
          </w:p>
        </w:tc>
      </w:tr>
    </w:tbl>
    <w:p>
      <w:pPr>
        <w:spacing w:after="120" w:line="276" w:lineRule="auto"/>
        <w:jc w:val="both"/>
      </w:pPr>
      <w:r>
        <w:rPr>
          <w:rFonts w:ascii="Garamond" w:hAnsi="Garamond"/>
          <w:b w:val="0"/>
          <w:i w:val="0"/>
          <w:sz w:val="24"/>
        </w:rPr>
      </w:r>
    </w:p>
    <w:p>
      <w:pPr>
        <w:spacing w:after="160" w:line="276" w:lineRule="auto"/>
        <w:jc w:val="both"/>
      </w:pPr>
      <w:r>
        <w:rPr>
          <w:rFonts w:ascii="Garamond" w:hAnsi="Garamond"/>
          <w:b w:val="0"/>
          <w:i w:val="0"/>
          <w:sz w:val="24"/>
        </w:rPr>
        <w:t>Chaque axe est découpé en tronçons opérationnels (codes T1A, T1B, T2B…) visibles individuellement sur la carte, gérés dans la console d'administration et colorés selon leur niveau de congestion propre.</w:t>
      </w:r>
    </w:p>
    <w:p>
      <w:r>
        <w:br w:type="page"/>
      </w:r>
    </w:p>
    <w:p>
      <w:pPr>
        <w:pStyle w:val="Titre1"/>
        <w:spacing w:before="360" w:after="200"/>
      </w:pPr>
      <w:r>
        <w:rPr>
          <w:rFonts w:ascii="Garamond" w:hAnsi="Garamond"/>
        </w:rPr>
        <w:t>I. ARCHITECTURE TECHNIQUE</w:t>
      </w:r>
    </w:p>
    <w:p>
      <w:pPr>
        <w:pStyle w:val="Titre2"/>
        <w:spacing w:before="280" w:after="160"/>
      </w:pPr>
      <w:r>
        <w:rPr>
          <w:rFonts w:ascii="Garamond" w:hAnsi="Garamond"/>
        </w:rPr>
        <w:t>1. Vue d’ensemble</w:t>
      </w:r>
    </w:p>
    <w:p>
      <w:pPr>
        <w:spacing w:after="160" w:line="276" w:lineRule="auto"/>
        <w:jc w:val="both"/>
      </w:pPr>
      <w:r>
        <w:rPr>
          <w:rFonts w:ascii="Garamond" w:hAnsi="Garamond"/>
          <w:b w:val="0"/>
          <w:i w:val="0"/>
          <w:sz w:val="24"/>
        </w:rPr>
        <w:t>FlowPort suit une architecture « sans serveur applicatif » en quatre plans : une application web monopage (React 19, Vite, Tailwind CSS 4) hébergée sur Firebase Hosting ; une base de données temps réel Cloud Firestore ; des traitements planifiés exécutés par GitHub Actions (collecte, calibrage, agrégation, notifications) ; et des services externes spécialisés (Google Distance Matrix et TomTom pour les temps de parcours, Groq pour l'assistant IA, Brevo pour les emails, OpenStreetMap/Leaflet pour la cartographie). Ce choix garantit un coût d'exploitation nul, une haute disponibilité et une maintenance minimale.</w:t>
      </w:r>
    </w:p>
    <w:p>
      <w:pPr>
        <w:pStyle w:val="Titre2"/>
        <w:spacing w:before="280" w:after="160"/>
      </w:pPr>
      <w:r>
        <w:rPr>
          <w:rFonts w:ascii="Garamond" w:hAnsi="Garamond"/>
        </w:rPr>
        <w:t>2. La chaîne de collecte des données</w:t>
      </w:r>
    </w:p>
    <w:p>
      <w:pPr>
        <w:spacing w:after="160" w:line="276" w:lineRule="auto"/>
        <w:jc w:val="both"/>
      </w:pPr>
      <w:r>
        <w:rPr>
          <w:rFonts w:ascii="Garamond" w:hAnsi="Garamond"/>
          <w:b w:val="0"/>
          <w:i w:val="0"/>
          <w:sz w:val="24"/>
        </w:rPr>
        <w:t>Toutes les 5 minutes, 24 h/24 et 7 j/7, un traitement planifié interroge Google Distance Matrix (source principale, un seul appel pour les 6 itinéraires) avec repli automatique sur TomTom Routing en cas d'indisponibilité. Pour chacun des 6 parcours (3 axes × 2 sens), il calcule le temps de traversée, le retard par rapport à la référence, la vitesse moyenne et le niveau de congestion, puis écrit : le cliché temps réel (collection mesures_live, lue par le tableau de bord) et l'archive horodatée (collection collecte_auto, socle de toutes les analyses). Environ 1 700 relevés réels sont ainsi archivés chaque jour — un système vivant d'accumulation de données dont la profondeur fiabilise les analyses au fil du temps.</w:t>
      </w:r>
    </w:p>
    <w:p>
      <w:pPr>
        <w:pStyle w:val="Titre2"/>
        <w:spacing w:before="280" w:after="160"/>
      </w:pPr>
      <w:r>
        <w:rPr>
          <w:rFonts w:ascii="Garamond" w:hAnsi="Garamond"/>
        </w:rPr>
        <w:t>3. Le modèle de données (Cloud Firestore)</w:t>
      </w:r>
    </w:p>
    <w:p>
      <w:pPr>
        <w:spacing w:after="80" w:line="276" w:lineRule="auto"/>
        <w:jc w:val="left"/>
      </w:pPr>
      <w:r>
        <w:rPr>
          <w:rFonts w:ascii="Garamond" w:hAnsi="Garamond"/>
          <w:b w:val="0"/>
          <w:i/>
          <w:color w:val="595959"/>
          <w:sz w:val="20"/>
        </w:rPr>
        <w:t>Tableau 2 — Collections Firestore : qui écrit, qui lit. Les règles de sécurité restreignent chaque collection au strict nécessaire (lecture publique pour l’affichage, écriture réservée aux administrateurs ou aux scripts).</w:t>
      </w:r>
    </w:p>
    <w:tbl>
      <w:tblPr>
        <w:tblW w:type="auto" w:w="0"/>
        <w:tblLayout w:type="autofit"/>
        <w:tblLook w:firstColumn="1" w:firstRow="1" w:lastColumn="0" w:lastRow="0" w:noHBand="0" w:noVBand="1" w:val="04A0"/>
        <w:tblBorders>
          <w:top w:val="single" w:sz="4" w:color="B9CDDC"/>
          <w:left w:val="single" w:sz="4" w:color="B9CDDC"/>
          <w:bottom w:val="single" w:sz="4" w:color="B9CDDC"/>
          <w:right w:val="single" w:sz="4" w:color="B9CDDC"/>
          <w:insideH w:val="single" w:sz="4" w:color="B9CDDC"/>
          <w:insideV w:val="single" w:sz="4" w:color="B9CDDC"/>
        </w:tblBorders>
      </w:tblPr>
      <w:tblGrid>
        <w:gridCol w:w="2268"/>
        <w:gridCol w:w="2268"/>
        <w:gridCol w:w="2268"/>
        <w:gridCol w:w="2268"/>
      </w:tblGrid>
      <w:tr>
        <w:tc>
          <w:tcPr>
            <w:tcW w:type="dxa" w:w="2268"/>
            <w:shd w:val="clear" w:fill="0E4C74"/>
          </w:tcPr>
          <w:p>
            <w:pPr>
              <w:jc w:val="center"/>
            </w:pPr>
            <w:r>
              <w:rPr>
                <w:rFonts w:ascii="Garamond" w:hAnsi="Garamond"/>
                <w:b/>
                <w:i w:val="0"/>
                <w:color w:val="FFFFFF"/>
                <w:sz w:val="20"/>
              </w:rPr>
              <w:t>Collection</w:t>
            </w:r>
          </w:p>
        </w:tc>
        <w:tc>
          <w:tcPr>
            <w:tcW w:type="dxa" w:w="2268"/>
            <w:shd w:val="clear" w:fill="0E4C74"/>
          </w:tcPr>
          <w:p>
            <w:pPr>
              <w:jc w:val="center"/>
            </w:pPr>
            <w:r>
              <w:rPr>
                <w:rFonts w:ascii="Garamond" w:hAnsi="Garamond"/>
                <w:b/>
                <w:i w:val="0"/>
                <w:color w:val="FFFFFF"/>
                <w:sz w:val="20"/>
              </w:rPr>
              <w:t>Contenu</w:t>
            </w:r>
          </w:p>
        </w:tc>
        <w:tc>
          <w:tcPr>
            <w:tcW w:type="dxa" w:w="2268"/>
            <w:shd w:val="clear" w:fill="0E4C74"/>
          </w:tcPr>
          <w:p>
            <w:pPr>
              <w:jc w:val="center"/>
            </w:pPr>
            <w:r>
              <w:rPr>
                <w:rFonts w:ascii="Garamond" w:hAnsi="Garamond"/>
                <w:b/>
                <w:i w:val="0"/>
                <w:color w:val="FFFFFF"/>
                <w:sz w:val="20"/>
              </w:rPr>
              <w:t>Écrivain</w:t>
            </w:r>
          </w:p>
        </w:tc>
        <w:tc>
          <w:tcPr>
            <w:tcW w:type="dxa" w:w="2268"/>
            <w:shd w:val="clear" w:fill="0E4C74"/>
          </w:tcPr>
          <w:p>
            <w:pPr>
              <w:jc w:val="center"/>
            </w:pPr>
            <w:r>
              <w:rPr>
                <w:rFonts w:ascii="Garamond" w:hAnsi="Garamond"/>
                <w:b/>
                <w:i w:val="0"/>
                <w:color w:val="FFFFFF"/>
                <w:sz w:val="20"/>
              </w:rPr>
              <w:t>Lecteurs</w:t>
            </w:r>
          </w:p>
        </w:tc>
      </w:tr>
      <w:tr>
        <w:tc>
          <w:tcPr>
            <w:tcW w:type="dxa" w:w="2268"/>
          </w:tcPr>
          <w:p>
            <w:pPr>
              <w:jc w:val="left"/>
            </w:pPr>
            <w:r>
              <w:rPr>
                <w:rFonts w:ascii="Garamond" w:hAnsi="Garamond"/>
                <w:b/>
                <w:i w:val="0"/>
                <w:sz w:val="20"/>
              </w:rPr>
              <w:t>mesures_live</w:t>
            </w:r>
          </w:p>
        </w:tc>
        <w:tc>
          <w:tcPr>
            <w:tcW w:type="dxa" w:w="2268"/>
          </w:tcPr>
          <w:p>
            <w:pPr>
              <w:jc w:val="left"/>
            </w:pPr>
            <w:r>
              <w:rPr>
                <w:rFonts w:ascii="Garamond" w:hAnsi="Garamond"/>
                <w:b w:val="0"/>
                <w:i w:val="0"/>
                <w:sz w:val="20"/>
              </w:rPr>
              <w:t>Dernière mesure par axe et sens (6 documents)</w:t>
            </w:r>
          </w:p>
        </w:tc>
        <w:tc>
          <w:tcPr>
            <w:tcW w:type="dxa" w:w="2268"/>
          </w:tcPr>
          <w:p>
            <w:pPr>
              <w:jc w:val="left"/>
            </w:pPr>
            <w:r>
              <w:rPr>
                <w:rFonts w:ascii="Garamond" w:hAnsi="Garamond"/>
                <w:b w:val="0"/>
                <w:i w:val="0"/>
                <w:sz w:val="20"/>
              </w:rPr>
              <w:t>Collecte (5 min)</w:t>
            </w:r>
          </w:p>
        </w:tc>
        <w:tc>
          <w:tcPr>
            <w:tcW w:type="dxa" w:w="2268"/>
          </w:tcPr>
          <w:p>
            <w:pPr>
              <w:jc w:val="left"/>
            </w:pPr>
            <w:r>
              <w:rPr>
                <w:rFonts w:ascii="Garamond" w:hAnsi="Garamond"/>
                <w:b w:val="0"/>
                <w:i w:val="0"/>
                <w:sz w:val="20"/>
              </w:rPr>
              <w:t>Dashboard, scripts</w:t>
            </w:r>
          </w:p>
        </w:tc>
      </w:tr>
      <w:tr>
        <w:tc>
          <w:tcPr>
            <w:tcW w:type="dxa" w:w="2268"/>
            <w:shd w:val="clear" w:fill="E8F3FA"/>
          </w:tcPr>
          <w:p>
            <w:pPr>
              <w:jc w:val="left"/>
            </w:pPr>
            <w:r>
              <w:rPr>
                <w:rFonts w:ascii="Garamond" w:hAnsi="Garamond"/>
                <w:b/>
                <w:i w:val="0"/>
                <w:sz w:val="20"/>
              </w:rPr>
              <w:t>collecte_auto</w:t>
            </w:r>
          </w:p>
        </w:tc>
        <w:tc>
          <w:tcPr>
            <w:tcW w:type="dxa" w:w="2268"/>
            <w:shd w:val="clear" w:fill="E8F3FA"/>
          </w:tcPr>
          <w:p>
            <w:pPr>
              <w:jc w:val="left"/>
            </w:pPr>
            <w:r>
              <w:rPr>
                <w:rFonts w:ascii="Garamond" w:hAnsi="Garamond"/>
                <w:b w:val="0"/>
                <w:i w:val="0"/>
                <w:sz w:val="20"/>
              </w:rPr>
              <w:t>Archive complète des relevés horodatés</w:t>
            </w:r>
          </w:p>
        </w:tc>
        <w:tc>
          <w:tcPr>
            <w:tcW w:type="dxa" w:w="2268"/>
            <w:shd w:val="clear" w:fill="E8F3FA"/>
          </w:tcPr>
          <w:p>
            <w:pPr>
              <w:jc w:val="left"/>
            </w:pPr>
            <w:r>
              <w:rPr>
                <w:rFonts w:ascii="Garamond" w:hAnsi="Garamond"/>
                <w:b w:val="0"/>
                <w:i w:val="0"/>
                <w:sz w:val="20"/>
              </w:rPr>
              <w:t>Collecte (5 min)</w:t>
            </w:r>
          </w:p>
        </w:tc>
        <w:tc>
          <w:tcPr>
            <w:tcW w:type="dxa" w:w="2268"/>
            <w:shd w:val="clear" w:fill="E8F3FA"/>
          </w:tcPr>
          <w:p>
            <w:pPr>
              <w:jc w:val="left"/>
            </w:pPr>
            <w:r>
              <w:rPr>
                <w:rFonts w:ascii="Garamond" w:hAnsi="Garamond"/>
                <w:b w:val="0"/>
                <w:i w:val="0"/>
                <w:sz w:val="20"/>
              </w:rPr>
              <w:t>Graphiques, rapports, exports, ML</w:t>
            </w:r>
          </w:p>
        </w:tc>
      </w:tr>
      <w:tr>
        <w:tc>
          <w:tcPr>
            <w:tcW w:type="dxa" w:w="2268"/>
          </w:tcPr>
          <w:p>
            <w:pPr>
              <w:jc w:val="left"/>
            </w:pPr>
            <w:r>
              <w:rPr>
                <w:rFonts w:ascii="Garamond" w:hAnsi="Garamond"/>
                <w:b/>
                <w:i w:val="0"/>
                <w:sz w:val="20"/>
              </w:rPr>
              <w:t>agregats_quotidiens</w:t>
            </w:r>
          </w:p>
        </w:tc>
        <w:tc>
          <w:tcPr>
            <w:tcW w:type="dxa" w:w="2268"/>
          </w:tcPr>
          <w:p>
            <w:pPr>
              <w:jc w:val="left"/>
            </w:pPr>
            <w:r>
              <w:rPr>
                <w:rFonts w:ascii="Garamond" w:hAnsi="Garamond"/>
                <w:b w:val="0"/>
                <w:i w:val="0"/>
                <w:sz w:val="20"/>
              </w:rPr>
              <w:t>Synthèse quotidienne par axe/sens (min, moy, max, niveaux)</w:t>
            </w:r>
          </w:p>
        </w:tc>
        <w:tc>
          <w:tcPr>
            <w:tcW w:type="dxa" w:w="2268"/>
          </w:tcPr>
          <w:p>
            <w:pPr>
              <w:jc w:val="left"/>
            </w:pPr>
            <w:r>
              <w:rPr>
                <w:rFonts w:ascii="Garamond" w:hAnsi="Garamond"/>
                <w:b w:val="0"/>
                <w:i w:val="0"/>
                <w:sz w:val="20"/>
              </w:rPr>
              <w:t>Agrégation nocturne</w:t>
            </w:r>
          </w:p>
        </w:tc>
        <w:tc>
          <w:tcPr>
            <w:tcW w:type="dxa" w:w="2268"/>
          </w:tcPr>
          <w:p>
            <w:pPr>
              <w:jc w:val="left"/>
            </w:pPr>
            <w:r>
              <w:rPr>
                <w:rFonts w:ascii="Garamond" w:hAnsi="Garamond"/>
                <w:b w:val="0"/>
                <w:i w:val="0"/>
                <w:sz w:val="20"/>
              </w:rPr>
              <w:t>Vues 7 j/30 j, IA, bilan hebdo</w:t>
            </w:r>
          </w:p>
        </w:tc>
      </w:tr>
      <w:tr>
        <w:tc>
          <w:tcPr>
            <w:tcW w:type="dxa" w:w="2268"/>
            <w:shd w:val="clear" w:fill="E8F3FA"/>
          </w:tcPr>
          <w:p>
            <w:pPr>
              <w:jc w:val="left"/>
            </w:pPr>
            <w:r>
              <w:rPr>
                <w:rFonts w:ascii="Garamond" w:hAnsi="Garamond"/>
                <w:b/>
                <w:i w:val="0"/>
                <w:sz w:val="20"/>
              </w:rPr>
              <w:t>flowport_axes</w:t>
            </w:r>
          </w:p>
        </w:tc>
        <w:tc>
          <w:tcPr>
            <w:tcW w:type="dxa" w:w="2268"/>
            <w:shd w:val="clear" w:fill="E8F3FA"/>
          </w:tcPr>
          <w:p>
            <w:pPr>
              <w:jc w:val="left"/>
            </w:pPr>
            <w:r>
              <w:rPr>
                <w:rFonts w:ascii="Garamond" w:hAnsi="Garamond"/>
                <w:b w:val="0"/>
                <w:i w:val="0"/>
                <w:sz w:val="20"/>
              </w:rPr>
              <w:t>Configuration des axes (tracés, références, seuils)</w:t>
            </w:r>
          </w:p>
        </w:tc>
        <w:tc>
          <w:tcPr>
            <w:tcW w:type="dxa" w:w="2268"/>
            <w:shd w:val="clear" w:fill="E8F3FA"/>
          </w:tcPr>
          <w:p>
            <w:pPr>
              <w:jc w:val="left"/>
            </w:pPr>
            <w:r>
              <w:rPr>
                <w:rFonts w:ascii="Garamond" w:hAnsi="Garamond"/>
                <w:b w:val="0"/>
                <w:i w:val="0"/>
                <w:sz w:val="20"/>
              </w:rPr>
              <w:t>Administration</w:t>
            </w:r>
          </w:p>
        </w:tc>
        <w:tc>
          <w:tcPr>
            <w:tcW w:type="dxa" w:w="2268"/>
            <w:shd w:val="clear" w:fill="E8F3FA"/>
          </w:tcPr>
          <w:p>
            <w:pPr>
              <w:jc w:val="left"/>
            </w:pPr>
            <w:r>
              <w:rPr>
                <w:rFonts w:ascii="Garamond" w:hAnsi="Garamond"/>
                <w:b w:val="0"/>
                <w:i w:val="0"/>
                <w:sz w:val="20"/>
              </w:rPr>
              <w:t>Toute l’application</w:t>
            </w:r>
          </w:p>
        </w:tc>
      </w:tr>
      <w:tr>
        <w:tc>
          <w:tcPr>
            <w:tcW w:type="dxa" w:w="2268"/>
          </w:tcPr>
          <w:p>
            <w:pPr>
              <w:jc w:val="left"/>
            </w:pPr>
            <w:r>
              <w:rPr>
                <w:rFonts w:ascii="Garamond" w:hAnsi="Garamond"/>
                <w:b/>
                <w:i w:val="0"/>
                <w:sz w:val="20"/>
              </w:rPr>
              <w:t>troncons</w:t>
            </w:r>
          </w:p>
        </w:tc>
        <w:tc>
          <w:tcPr>
            <w:tcW w:type="dxa" w:w="2268"/>
          </w:tcPr>
          <w:p>
            <w:pPr>
              <w:jc w:val="left"/>
            </w:pPr>
            <w:r>
              <w:rPr>
                <w:rFonts w:ascii="Garamond" w:hAnsi="Garamond"/>
                <w:b w:val="0"/>
                <w:i w:val="0"/>
                <w:sz w:val="20"/>
              </w:rPr>
              <w:t>Tronçons opérationnels (codes, tracés, ordre)</w:t>
            </w:r>
          </w:p>
        </w:tc>
        <w:tc>
          <w:tcPr>
            <w:tcW w:type="dxa" w:w="2268"/>
          </w:tcPr>
          <w:p>
            <w:pPr>
              <w:jc w:val="left"/>
            </w:pPr>
            <w:r>
              <w:rPr>
                <w:rFonts w:ascii="Garamond" w:hAnsi="Garamond"/>
                <w:b w:val="0"/>
                <w:i w:val="0"/>
                <w:sz w:val="20"/>
              </w:rPr>
              <w:t>Administration</w:t>
            </w:r>
          </w:p>
        </w:tc>
        <w:tc>
          <w:tcPr>
            <w:tcW w:type="dxa" w:w="2268"/>
          </w:tcPr>
          <w:p>
            <w:pPr>
              <w:jc w:val="left"/>
            </w:pPr>
            <w:r>
              <w:rPr>
                <w:rFonts w:ascii="Garamond" w:hAnsi="Garamond"/>
                <w:b w:val="0"/>
                <w:i w:val="0"/>
                <w:sz w:val="20"/>
              </w:rPr>
              <w:t>Carte, KPI tronçon critique</w:t>
            </w:r>
          </w:p>
        </w:tc>
      </w:tr>
      <w:tr>
        <w:tc>
          <w:tcPr>
            <w:tcW w:type="dxa" w:w="2268"/>
            <w:shd w:val="clear" w:fill="E8F3FA"/>
          </w:tcPr>
          <w:p>
            <w:pPr>
              <w:jc w:val="left"/>
            </w:pPr>
            <w:r>
              <w:rPr>
                <w:rFonts w:ascii="Garamond" w:hAnsi="Garamond"/>
                <w:b/>
                <w:i w:val="0"/>
                <w:sz w:val="20"/>
              </w:rPr>
              <w:t>flowport_seuils</w:t>
            </w:r>
          </w:p>
        </w:tc>
        <w:tc>
          <w:tcPr>
            <w:tcW w:type="dxa" w:w="2268"/>
            <w:shd w:val="clear" w:fill="E8F3FA"/>
          </w:tcPr>
          <w:p>
            <w:pPr>
              <w:jc w:val="left"/>
            </w:pPr>
            <w:r>
              <w:rPr>
                <w:rFonts w:ascii="Garamond" w:hAnsi="Garamond"/>
                <w:b w:val="0"/>
                <w:i w:val="0"/>
                <w:sz w:val="20"/>
              </w:rPr>
              <w:t>Seuils d’alerte par axe</w:t>
            </w:r>
          </w:p>
        </w:tc>
        <w:tc>
          <w:tcPr>
            <w:tcW w:type="dxa" w:w="2268"/>
            <w:shd w:val="clear" w:fill="E8F3FA"/>
          </w:tcPr>
          <w:p>
            <w:pPr>
              <w:jc w:val="left"/>
            </w:pPr>
            <w:r>
              <w:rPr>
                <w:rFonts w:ascii="Garamond" w:hAnsi="Garamond"/>
                <w:b w:val="0"/>
                <w:i w:val="0"/>
                <w:sz w:val="20"/>
              </w:rPr>
              <w:t>Administration</w:t>
            </w:r>
          </w:p>
        </w:tc>
        <w:tc>
          <w:tcPr>
            <w:tcW w:type="dxa" w:w="2268"/>
            <w:shd w:val="clear" w:fill="E8F3FA"/>
          </w:tcPr>
          <w:p>
            <w:pPr>
              <w:jc w:val="left"/>
            </w:pPr>
            <w:r>
              <w:rPr>
                <w:rFonts w:ascii="Garamond" w:hAnsi="Garamond"/>
                <w:b w:val="0"/>
                <w:i w:val="0"/>
                <w:sz w:val="20"/>
              </w:rPr>
              <w:t>Dashboard, rapports</w:t>
            </w:r>
          </w:p>
        </w:tc>
      </w:tr>
      <w:tr>
        <w:tc>
          <w:tcPr>
            <w:tcW w:type="dxa" w:w="2268"/>
          </w:tcPr>
          <w:p>
            <w:pPr>
              <w:jc w:val="left"/>
            </w:pPr>
            <w:r>
              <w:rPr>
                <w:rFonts w:ascii="Garamond" w:hAnsi="Garamond"/>
                <w:b/>
                <w:i w:val="0"/>
                <w:sz w:val="20"/>
              </w:rPr>
              <w:t>flowport_references</w:t>
            </w:r>
          </w:p>
        </w:tc>
        <w:tc>
          <w:tcPr>
            <w:tcW w:type="dxa" w:w="2268"/>
          </w:tcPr>
          <w:p>
            <w:pPr>
              <w:jc w:val="left"/>
            </w:pPr>
            <w:r>
              <w:rPr>
                <w:rFonts w:ascii="Garamond" w:hAnsi="Garamond"/>
                <w:b w:val="0"/>
                <w:i w:val="0"/>
                <w:sz w:val="20"/>
              </w:rPr>
              <w:t>Références horaires recalibrées + tRef recommandés</w:t>
            </w:r>
          </w:p>
        </w:tc>
        <w:tc>
          <w:tcPr>
            <w:tcW w:type="dxa" w:w="2268"/>
          </w:tcPr>
          <w:p>
            <w:pPr>
              <w:jc w:val="left"/>
            </w:pPr>
            <w:r>
              <w:rPr>
                <w:rFonts w:ascii="Garamond" w:hAnsi="Garamond"/>
                <w:b w:val="0"/>
                <w:i w:val="0"/>
                <w:sz w:val="20"/>
              </w:rPr>
              <w:t>Calibrage hebdomadaire</w:t>
            </w:r>
          </w:p>
        </w:tc>
        <w:tc>
          <w:tcPr>
            <w:tcW w:type="dxa" w:w="2268"/>
          </w:tcPr>
          <w:p>
            <w:pPr>
              <w:jc w:val="left"/>
            </w:pPr>
            <w:r>
              <w:rPr>
                <w:rFonts w:ascii="Garamond" w:hAnsi="Garamond"/>
                <w:b w:val="0"/>
                <w:i w:val="0"/>
                <w:sz w:val="20"/>
              </w:rPr>
              <w:t>Heatmap, synthèse, Administration</w:t>
            </w:r>
          </w:p>
        </w:tc>
      </w:tr>
      <w:tr>
        <w:tc>
          <w:tcPr>
            <w:tcW w:type="dxa" w:w="2268"/>
            <w:shd w:val="clear" w:fill="E8F3FA"/>
          </w:tcPr>
          <w:p>
            <w:pPr>
              <w:jc w:val="left"/>
            </w:pPr>
            <w:r>
              <w:rPr>
                <w:rFonts w:ascii="Garamond" w:hAnsi="Garamond"/>
                <w:b/>
                <w:i w:val="0"/>
                <w:sz w:val="20"/>
              </w:rPr>
              <w:t>alertes_etat</w:t>
            </w:r>
          </w:p>
        </w:tc>
        <w:tc>
          <w:tcPr>
            <w:tcW w:type="dxa" w:w="2268"/>
            <w:shd w:val="clear" w:fill="E8F3FA"/>
          </w:tcPr>
          <w:p>
            <w:pPr>
              <w:jc w:val="left"/>
            </w:pPr>
            <w:r>
              <w:rPr>
                <w:rFonts w:ascii="Garamond" w:hAnsi="Garamond"/>
                <w:b w:val="0"/>
                <w:i w:val="0"/>
                <w:sz w:val="20"/>
              </w:rPr>
              <w:t>État anti-spam des alertes (historique, cooldowns)</w:t>
            </w:r>
          </w:p>
        </w:tc>
        <w:tc>
          <w:tcPr>
            <w:tcW w:type="dxa" w:w="2268"/>
            <w:shd w:val="clear" w:fill="E8F3FA"/>
          </w:tcPr>
          <w:p>
            <w:pPr>
              <w:jc w:val="left"/>
            </w:pPr>
            <w:r>
              <w:rPr>
                <w:rFonts w:ascii="Garamond" w:hAnsi="Garamond"/>
                <w:b w:val="0"/>
                <w:i w:val="0"/>
                <w:sz w:val="20"/>
              </w:rPr>
              <w:t>Collecte</w:t>
            </w:r>
          </w:p>
        </w:tc>
        <w:tc>
          <w:tcPr>
            <w:tcW w:type="dxa" w:w="2268"/>
            <w:shd w:val="clear" w:fill="E8F3FA"/>
          </w:tcPr>
          <w:p>
            <w:pPr>
              <w:jc w:val="left"/>
            </w:pPr>
            <w:r>
              <w:rPr>
                <w:rFonts w:ascii="Garamond" w:hAnsi="Garamond"/>
                <w:b w:val="0"/>
                <w:i w:val="0"/>
                <w:sz w:val="20"/>
              </w:rPr>
              <w:t>Collecte</w:t>
            </w:r>
          </w:p>
        </w:tc>
      </w:tr>
      <w:tr>
        <w:tc>
          <w:tcPr>
            <w:tcW w:type="dxa" w:w="2268"/>
          </w:tcPr>
          <w:p>
            <w:pPr>
              <w:jc w:val="left"/>
            </w:pPr>
            <w:r>
              <w:rPr>
                <w:rFonts w:ascii="Garamond" w:hAnsi="Garamond"/>
                <w:b/>
                <w:i w:val="0"/>
                <w:sz w:val="20"/>
              </w:rPr>
              <w:t>rapports_generes</w:t>
            </w:r>
          </w:p>
        </w:tc>
        <w:tc>
          <w:tcPr>
            <w:tcW w:type="dxa" w:w="2268"/>
          </w:tcPr>
          <w:p>
            <w:pPr>
              <w:jc w:val="left"/>
            </w:pPr>
            <w:r>
              <w:rPr>
                <w:rFonts w:ascii="Garamond" w:hAnsi="Garamond"/>
                <w:b w:val="0"/>
                <w:i w:val="0"/>
                <w:sz w:val="20"/>
              </w:rPr>
              <w:t>Registre des rapports générés (métadonnées)</w:t>
            </w:r>
          </w:p>
        </w:tc>
        <w:tc>
          <w:tcPr>
            <w:tcW w:type="dxa" w:w="2268"/>
          </w:tcPr>
          <w:p>
            <w:pPr>
              <w:jc w:val="left"/>
            </w:pPr>
            <w:r>
              <w:rPr>
                <w:rFonts w:ascii="Garamond" w:hAnsi="Garamond"/>
                <w:b w:val="0"/>
                <w:i w:val="0"/>
                <w:sz w:val="20"/>
              </w:rPr>
              <w:t>Page Rapports</w:t>
            </w:r>
          </w:p>
        </w:tc>
        <w:tc>
          <w:tcPr>
            <w:tcW w:type="dxa" w:w="2268"/>
          </w:tcPr>
          <w:p>
            <w:pPr>
              <w:jc w:val="left"/>
            </w:pPr>
            <w:r>
              <w:rPr>
                <w:rFonts w:ascii="Garamond" w:hAnsi="Garamond"/>
                <w:b w:val="0"/>
                <w:i w:val="0"/>
                <w:sz w:val="20"/>
              </w:rPr>
              <w:t>Page Rapports</w:t>
            </w:r>
          </w:p>
        </w:tc>
      </w:tr>
      <w:tr>
        <w:tc>
          <w:tcPr>
            <w:tcW w:type="dxa" w:w="2268"/>
            <w:shd w:val="clear" w:fill="E8F3FA"/>
          </w:tcPr>
          <w:p>
            <w:pPr>
              <w:jc w:val="left"/>
            </w:pPr>
            <w:r>
              <w:rPr>
                <w:rFonts w:ascii="Garamond" w:hAnsi="Garamond"/>
                <w:b/>
                <w:i w:val="0"/>
                <w:sz w:val="20"/>
              </w:rPr>
              <w:t>config/notifications</w:t>
            </w:r>
          </w:p>
        </w:tc>
        <w:tc>
          <w:tcPr>
            <w:tcW w:type="dxa" w:w="2268"/>
            <w:shd w:val="clear" w:fill="E8F3FA"/>
          </w:tcPr>
          <w:p>
            <w:pPr>
              <w:jc w:val="left"/>
            </w:pPr>
            <w:r>
              <w:rPr>
                <w:rFonts w:ascii="Garamond" w:hAnsi="Garamond"/>
                <w:b w:val="0"/>
                <w:i w:val="0"/>
                <w:sz w:val="20"/>
              </w:rPr>
              <w:t>Destinataires des emails (réservé admin)</w:t>
            </w:r>
          </w:p>
        </w:tc>
        <w:tc>
          <w:tcPr>
            <w:tcW w:type="dxa" w:w="2268"/>
            <w:shd w:val="clear" w:fill="E8F3FA"/>
          </w:tcPr>
          <w:p>
            <w:pPr>
              <w:jc w:val="left"/>
            </w:pPr>
            <w:r>
              <w:rPr>
                <w:rFonts w:ascii="Garamond" w:hAnsi="Garamond"/>
                <w:b w:val="0"/>
                <w:i w:val="0"/>
                <w:sz w:val="20"/>
              </w:rPr>
              <w:t>Administration</w:t>
            </w:r>
          </w:p>
        </w:tc>
        <w:tc>
          <w:tcPr>
            <w:tcW w:type="dxa" w:w="2268"/>
            <w:shd w:val="clear" w:fill="E8F3FA"/>
          </w:tcPr>
          <w:p>
            <w:pPr>
              <w:jc w:val="left"/>
            </w:pPr>
            <w:r>
              <w:rPr>
                <w:rFonts w:ascii="Garamond" w:hAnsi="Garamond"/>
                <w:b w:val="0"/>
                <w:i w:val="0"/>
                <w:sz w:val="20"/>
              </w:rPr>
              <w:t>Scripts (compte bot)</w:t>
            </w:r>
          </w:p>
        </w:tc>
      </w:tr>
      <w:tr>
        <w:tc>
          <w:tcPr>
            <w:tcW w:type="dxa" w:w="2268"/>
          </w:tcPr>
          <w:p>
            <w:pPr>
              <w:jc w:val="left"/>
            </w:pPr>
            <w:r>
              <w:rPr>
                <w:rFonts w:ascii="Garamond" w:hAnsi="Garamond"/>
                <w:b/>
                <w:i w:val="0"/>
                <w:sz w:val="20"/>
              </w:rPr>
              <w:t>users</w:t>
            </w:r>
          </w:p>
        </w:tc>
        <w:tc>
          <w:tcPr>
            <w:tcW w:type="dxa" w:w="2268"/>
          </w:tcPr>
          <w:p>
            <w:pPr>
              <w:jc w:val="left"/>
            </w:pPr>
            <w:r>
              <w:rPr>
                <w:rFonts w:ascii="Garamond" w:hAnsi="Garamond"/>
                <w:b w:val="0"/>
                <w:i w:val="0"/>
                <w:sz w:val="20"/>
              </w:rPr>
              <w:t>Comptes et rôles (public / admin)</w:t>
            </w:r>
          </w:p>
        </w:tc>
        <w:tc>
          <w:tcPr>
            <w:tcW w:type="dxa" w:w="2268"/>
          </w:tcPr>
          <w:p>
            <w:pPr>
              <w:jc w:val="left"/>
            </w:pPr>
            <w:r>
              <w:rPr>
                <w:rFonts w:ascii="Garamond" w:hAnsi="Garamond"/>
                <w:b w:val="0"/>
                <w:i w:val="0"/>
                <w:sz w:val="20"/>
              </w:rPr>
              <w:t>Administration</w:t>
            </w:r>
          </w:p>
        </w:tc>
        <w:tc>
          <w:tcPr>
            <w:tcW w:type="dxa" w:w="2268"/>
          </w:tcPr>
          <w:p>
            <w:pPr>
              <w:jc w:val="left"/>
            </w:pPr>
            <w:r>
              <w:rPr>
                <w:rFonts w:ascii="Garamond" w:hAnsi="Garamond"/>
                <w:b w:val="0"/>
                <w:i w:val="0"/>
                <w:sz w:val="20"/>
              </w:rPr>
              <w:t>Authentification</w:t>
            </w:r>
          </w:p>
        </w:tc>
      </w:tr>
      <w:tr>
        <w:tc>
          <w:tcPr>
            <w:tcW w:type="dxa" w:w="2268"/>
            <w:shd w:val="clear" w:fill="E8F3FA"/>
          </w:tcPr>
          <w:p>
            <w:pPr>
              <w:jc w:val="left"/>
            </w:pPr>
            <w:r>
              <w:rPr>
                <w:rFonts w:ascii="Garamond" w:hAnsi="Garamond"/>
                <w:b/>
                <w:i w:val="0"/>
                <w:sz w:val="20"/>
              </w:rPr>
              <w:t>utilisateurs_live</w:t>
            </w:r>
          </w:p>
        </w:tc>
        <w:tc>
          <w:tcPr>
            <w:tcW w:type="dxa" w:w="2268"/>
            <w:shd w:val="clear" w:fill="E8F3FA"/>
          </w:tcPr>
          <w:p>
            <w:pPr>
              <w:jc w:val="left"/>
            </w:pPr>
            <w:r>
              <w:rPr>
                <w:rFonts w:ascii="Garamond" w:hAnsi="Garamond"/>
                <w:b w:val="0"/>
                <w:i w:val="0"/>
                <w:sz w:val="20"/>
              </w:rPr>
              <w:t>Positions GPS anonymisées des usagers consentants</w:t>
            </w:r>
          </w:p>
        </w:tc>
        <w:tc>
          <w:tcPr>
            <w:tcW w:type="dxa" w:w="2268"/>
            <w:shd w:val="clear" w:fill="E8F3FA"/>
          </w:tcPr>
          <w:p>
            <w:pPr>
              <w:jc w:val="left"/>
            </w:pPr>
            <w:r>
              <w:rPr>
                <w:rFonts w:ascii="Garamond" w:hAnsi="Garamond"/>
                <w:b w:val="0"/>
                <w:i w:val="0"/>
                <w:sz w:val="20"/>
              </w:rPr>
              <w:t>Navigateurs clients</w:t>
            </w:r>
          </w:p>
        </w:tc>
        <w:tc>
          <w:tcPr>
            <w:tcW w:type="dxa" w:w="2268"/>
            <w:shd w:val="clear" w:fill="E8F3FA"/>
          </w:tcPr>
          <w:p>
            <w:pPr>
              <w:jc w:val="left"/>
            </w:pPr>
            <w:r>
              <w:rPr>
                <w:rFonts w:ascii="Garamond" w:hAnsi="Garamond"/>
                <w:b w:val="0"/>
                <w:i w:val="0"/>
                <w:sz w:val="20"/>
              </w:rPr>
              <w:t>Carte admin, compteur usagers</w:t>
            </w:r>
          </w:p>
        </w:tc>
      </w:tr>
      <w:tr>
        <w:tc>
          <w:tcPr>
            <w:tcW w:type="dxa" w:w="2268"/>
          </w:tcPr>
          <w:p>
            <w:pPr>
              <w:jc w:val="left"/>
            </w:pPr>
            <w:r>
              <w:rPr>
                <w:rFonts w:ascii="Garamond" w:hAnsi="Garamond"/>
                <w:b/>
                <w:i w:val="0"/>
                <w:sz w:val="20"/>
              </w:rPr>
              <w:t>mesures</w:t>
            </w:r>
          </w:p>
        </w:tc>
        <w:tc>
          <w:tcPr>
            <w:tcW w:type="dxa" w:w="2268"/>
          </w:tcPr>
          <w:p>
            <w:pPr>
              <w:jc w:val="left"/>
            </w:pPr>
            <w:r>
              <w:rPr>
                <w:rFonts w:ascii="Garamond" w:hAnsi="Garamond"/>
                <w:b w:val="0"/>
                <w:i w:val="0"/>
                <w:sz w:val="20"/>
              </w:rPr>
              <w:t>Jeu historique figé de février 2025 (2 016 mesures)</w:t>
            </w:r>
          </w:p>
        </w:tc>
        <w:tc>
          <w:tcPr>
            <w:tcW w:type="dxa" w:w="2268"/>
          </w:tcPr>
          <w:p>
            <w:pPr>
              <w:jc w:val="left"/>
            </w:pPr>
            <w:r>
              <w:rPr>
                <w:rFonts w:ascii="Garamond" w:hAnsi="Garamond"/>
                <w:b w:val="0"/>
                <w:i w:val="0"/>
                <w:sz w:val="20"/>
              </w:rPr>
              <w:t>— (figé)</w:t>
            </w:r>
          </w:p>
        </w:tc>
        <w:tc>
          <w:tcPr>
            <w:tcW w:type="dxa" w:w="2268"/>
          </w:tcPr>
          <w:p>
            <w:pPr>
              <w:jc w:val="left"/>
            </w:pPr>
            <w:r>
              <w:rPr>
                <w:rFonts w:ascii="Garamond" w:hAnsi="Garamond"/>
                <w:b w:val="0"/>
                <w:i w:val="0"/>
                <w:sz w:val="20"/>
              </w:rPr>
              <w:t>Mode « historique » des graphiques</w:t>
            </w:r>
          </w:p>
        </w:tc>
      </w:tr>
    </w:tbl>
    <w:p>
      <w:pPr>
        <w:spacing w:after="120" w:line="276" w:lineRule="auto"/>
        <w:jc w:val="both"/>
      </w:pPr>
      <w:r>
        <w:rPr>
          <w:rFonts w:ascii="Garamond" w:hAnsi="Garamond"/>
          <w:b w:val="0"/>
          <w:i w:val="0"/>
          <w:sz w:val="24"/>
        </w:rPr>
      </w:r>
    </w:p>
    <w:p>
      <w:pPr>
        <w:pStyle w:val="Titre2"/>
        <w:spacing w:before="280" w:after="160"/>
      </w:pPr>
      <w:r>
        <w:rPr>
          <w:rFonts w:ascii="Garamond" w:hAnsi="Garamond"/>
        </w:rPr>
        <w:t>4. Les traitements planifiés (GitHub Actions)</w:t>
      </w:r>
    </w:p>
    <w:p>
      <w:pPr>
        <w:spacing w:after="80" w:line="276" w:lineRule="auto"/>
        <w:jc w:val="left"/>
      </w:pPr>
      <w:r>
        <w:rPr>
          <w:rFonts w:ascii="Garamond" w:hAnsi="Garamond"/>
          <w:b w:val="0"/>
          <w:i/>
          <w:color w:val="595959"/>
          <w:sz w:val="20"/>
        </w:rPr>
        <w:t>Tableau 3 — Les sept automatisations. Les traitements sensibles s’authentifient via un compte de service dédié (« bot ») dont les identifiants sont stockés en secrets chiffrés GitHub.</w:t>
      </w:r>
    </w:p>
    <w:tbl>
      <w:tblPr>
        <w:tblW w:type="auto" w:w="0"/>
        <w:tblLayout w:type="autofit"/>
        <w:tblLook w:firstColumn="1" w:firstRow="1" w:lastColumn="0" w:lastRow="0" w:noHBand="0" w:noVBand="1" w:val="04A0"/>
        <w:tblBorders>
          <w:top w:val="single" w:sz="4" w:color="B9CDDC"/>
          <w:left w:val="single" w:sz="4" w:color="B9CDDC"/>
          <w:bottom w:val="single" w:sz="4" w:color="B9CDDC"/>
          <w:right w:val="single" w:sz="4" w:color="B9CDDC"/>
          <w:insideH w:val="single" w:sz="4" w:color="B9CDDC"/>
          <w:insideV w:val="single" w:sz="4" w:color="B9CDDC"/>
        </w:tblBorders>
      </w:tblPr>
      <w:tblGrid>
        <w:gridCol w:w="3024"/>
        <w:gridCol w:w="3024"/>
        <w:gridCol w:w="3024"/>
      </w:tblGrid>
      <w:tr>
        <w:tc>
          <w:tcPr>
            <w:tcW w:type="dxa" w:w="3024"/>
            <w:shd w:val="clear" w:fill="0E4C74"/>
          </w:tcPr>
          <w:p>
            <w:pPr>
              <w:jc w:val="center"/>
            </w:pPr>
            <w:r>
              <w:rPr>
                <w:rFonts w:ascii="Garamond" w:hAnsi="Garamond"/>
                <w:b/>
                <w:i w:val="0"/>
                <w:color w:val="FFFFFF"/>
                <w:sz w:val="20"/>
              </w:rPr>
              <w:t>Workflow</w:t>
            </w:r>
          </w:p>
        </w:tc>
        <w:tc>
          <w:tcPr>
            <w:tcW w:type="dxa" w:w="3024"/>
            <w:shd w:val="clear" w:fill="0E4C74"/>
          </w:tcPr>
          <w:p>
            <w:pPr>
              <w:jc w:val="center"/>
            </w:pPr>
            <w:r>
              <w:rPr>
                <w:rFonts w:ascii="Garamond" w:hAnsi="Garamond"/>
                <w:b/>
                <w:i w:val="0"/>
                <w:color w:val="FFFFFF"/>
                <w:sz w:val="20"/>
              </w:rPr>
              <w:t>Fréquence</w:t>
            </w:r>
          </w:p>
        </w:tc>
        <w:tc>
          <w:tcPr>
            <w:tcW w:type="dxa" w:w="3024"/>
            <w:shd w:val="clear" w:fill="0E4C74"/>
          </w:tcPr>
          <w:p>
            <w:pPr>
              <w:jc w:val="center"/>
            </w:pPr>
            <w:r>
              <w:rPr>
                <w:rFonts w:ascii="Garamond" w:hAnsi="Garamond"/>
                <w:b/>
                <w:i w:val="0"/>
                <w:color w:val="FFFFFF"/>
                <w:sz w:val="20"/>
              </w:rPr>
              <w:t>Rôle</w:t>
            </w:r>
          </w:p>
        </w:tc>
      </w:tr>
      <w:tr>
        <w:tc>
          <w:tcPr>
            <w:tcW w:type="dxa" w:w="3024"/>
          </w:tcPr>
          <w:p>
            <w:pPr>
              <w:jc w:val="left"/>
            </w:pPr>
            <w:r>
              <w:rPr>
                <w:rFonts w:ascii="Garamond" w:hAnsi="Garamond"/>
                <w:b/>
                <w:i w:val="0"/>
                <w:sz w:val="20"/>
              </w:rPr>
              <w:t>Collecte Auto Trafic PAA</w:t>
            </w:r>
          </w:p>
        </w:tc>
        <w:tc>
          <w:tcPr>
            <w:tcW w:type="dxa" w:w="3024"/>
          </w:tcPr>
          <w:p>
            <w:pPr>
              <w:jc w:val="left"/>
            </w:pPr>
            <w:r>
              <w:rPr>
                <w:rFonts w:ascii="Garamond" w:hAnsi="Garamond"/>
                <w:b w:val="0"/>
                <w:i w:val="0"/>
                <w:sz w:val="20"/>
              </w:rPr>
              <w:t>Toutes les 5 min</w:t>
            </w:r>
          </w:p>
        </w:tc>
        <w:tc>
          <w:tcPr>
            <w:tcW w:type="dxa" w:w="3024"/>
          </w:tcPr>
          <w:p>
            <w:pPr>
              <w:jc w:val="left"/>
            </w:pPr>
            <w:r>
              <w:rPr>
                <w:rFonts w:ascii="Garamond" w:hAnsi="Garamond"/>
                <w:b w:val="0"/>
                <w:i w:val="0"/>
                <w:sz w:val="20"/>
              </w:rPr>
              <w:t>Mesure des 6 parcours + alertes/pré-alertes email</w:t>
            </w:r>
          </w:p>
        </w:tc>
      </w:tr>
      <w:tr>
        <w:tc>
          <w:tcPr>
            <w:tcW w:type="dxa" w:w="3024"/>
            <w:shd w:val="clear" w:fill="E8F3FA"/>
          </w:tcPr>
          <w:p>
            <w:pPr>
              <w:jc w:val="left"/>
            </w:pPr>
            <w:r>
              <w:rPr>
                <w:rFonts w:ascii="Garamond" w:hAnsi="Garamond"/>
                <w:b/>
                <w:i w:val="0"/>
                <w:sz w:val="20"/>
              </w:rPr>
              <w:t>Récap matinal — email</w:t>
            </w:r>
          </w:p>
        </w:tc>
        <w:tc>
          <w:tcPr>
            <w:tcW w:type="dxa" w:w="3024"/>
            <w:shd w:val="clear" w:fill="E8F3FA"/>
          </w:tcPr>
          <w:p>
            <w:pPr>
              <w:jc w:val="left"/>
            </w:pPr>
            <w:r>
              <w:rPr>
                <w:rFonts w:ascii="Garamond" w:hAnsi="Garamond"/>
                <w:b w:val="0"/>
                <w:i w:val="0"/>
                <w:sz w:val="20"/>
              </w:rPr>
              <w:t>Tous les jours 6h30</w:t>
            </w:r>
          </w:p>
        </w:tc>
        <w:tc>
          <w:tcPr>
            <w:tcW w:type="dxa" w:w="3024"/>
            <w:shd w:val="clear" w:fill="E8F3FA"/>
          </w:tcPr>
          <w:p>
            <w:pPr>
              <w:jc w:val="left"/>
            </w:pPr>
            <w:r>
              <w:rPr>
                <w:rFonts w:ascii="Garamond" w:hAnsi="Garamond"/>
                <w:b w:val="0"/>
                <w:i w:val="0"/>
                <w:sz w:val="20"/>
              </w:rPr>
              <w:t>Point trafic du matin aux destinataires abonnés</w:t>
            </w:r>
          </w:p>
        </w:tc>
      </w:tr>
      <w:tr>
        <w:tc>
          <w:tcPr>
            <w:tcW w:type="dxa" w:w="3024"/>
          </w:tcPr>
          <w:p>
            <w:pPr>
              <w:jc w:val="left"/>
            </w:pPr>
            <w:r>
              <w:rPr>
                <w:rFonts w:ascii="Garamond" w:hAnsi="Garamond"/>
                <w:b/>
                <w:i w:val="0"/>
                <w:sz w:val="20"/>
              </w:rPr>
              <w:t>Bilan hebdomadaire — email</w:t>
            </w:r>
          </w:p>
        </w:tc>
        <w:tc>
          <w:tcPr>
            <w:tcW w:type="dxa" w:w="3024"/>
          </w:tcPr>
          <w:p>
            <w:pPr>
              <w:jc w:val="left"/>
            </w:pPr>
            <w:r>
              <w:rPr>
                <w:rFonts w:ascii="Garamond" w:hAnsi="Garamond"/>
                <w:b w:val="0"/>
                <w:i w:val="0"/>
                <w:sz w:val="20"/>
              </w:rPr>
              <w:t>Lundi 6h45</w:t>
            </w:r>
          </w:p>
        </w:tc>
        <w:tc>
          <w:tcPr>
            <w:tcW w:type="dxa" w:w="3024"/>
          </w:tcPr>
          <w:p>
            <w:pPr>
              <w:jc w:val="left"/>
            </w:pPr>
            <w:r>
              <w:rPr>
                <w:rFonts w:ascii="Garamond" w:hAnsi="Garamond"/>
                <w:b w:val="0"/>
                <w:i w:val="0"/>
                <w:sz w:val="20"/>
              </w:rPr>
              <w:t>Bilan de la semaine écoulée vs la précédente</w:t>
            </w:r>
          </w:p>
        </w:tc>
      </w:tr>
      <w:tr>
        <w:tc>
          <w:tcPr>
            <w:tcW w:type="dxa" w:w="3024"/>
            <w:shd w:val="clear" w:fill="E8F3FA"/>
          </w:tcPr>
          <w:p>
            <w:pPr>
              <w:jc w:val="left"/>
            </w:pPr>
            <w:r>
              <w:rPr>
                <w:rFonts w:ascii="Garamond" w:hAnsi="Garamond"/>
                <w:b/>
                <w:i w:val="0"/>
                <w:sz w:val="20"/>
              </w:rPr>
              <w:t>Agréger la collecte quotidienne</w:t>
            </w:r>
          </w:p>
        </w:tc>
        <w:tc>
          <w:tcPr>
            <w:tcW w:type="dxa" w:w="3024"/>
            <w:shd w:val="clear" w:fill="E8F3FA"/>
          </w:tcPr>
          <w:p>
            <w:pPr>
              <w:jc w:val="left"/>
            </w:pPr>
            <w:r>
              <w:rPr>
                <w:rFonts w:ascii="Garamond" w:hAnsi="Garamond"/>
                <w:b w:val="0"/>
                <w:i w:val="0"/>
                <w:sz w:val="20"/>
              </w:rPr>
              <w:t>Toutes les nuits 2h</w:t>
            </w:r>
          </w:p>
        </w:tc>
        <w:tc>
          <w:tcPr>
            <w:tcW w:type="dxa" w:w="3024"/>
            <w:shd w:val="clear" w:fill="E8F3FA"/>
          </w:tcPr>
          <w:p>
            <w:pPr>
              <w:jc w:val="left"/>
            </w:pPr>
            <w:r>
              <w:rPr>
                <w:rFonts w:ascii="Garamond" w:hAnsi="Garamond"/>
                <w:b w:val="0"/>
                <w:i w:val="0"/>
                <w:sz w:val="20"/>
              </w:rPr>
              <w:t>Compactage de la veille en agrégats (+ rattrapage 30 j)</w:t>
            </w:r>
          </w:p>
        </w:tc>
      </w:tr>
      <w:tr>
        <w:tc>
          <w:tcPr>
            <w:tcW w:type="dxa" w:w="3024"/>
          </w:tcPr>
          <w:p>
            <w:pPr>
              <w:jc w:val="left"/>
            </w:pPr>
            <w:r>
              <w:rPr>
                <w:rFonts w:ascii="Garamond" w:hAnsi="Garamond"/>
                <w:b/>
                <w:i w:val="0"/>
                <w:sz w:val="20"/>
              </w:rPr>
              <w:t>Calibrer les références horaires</w:t>
            </w:r>
          </w:p>
        </w:tc>
        <w:tc>
          <w:tcPr>
            <w:tcW w:type="dxa" w:w="3024"/>
          </w:tcPr>
          <w:p>
            <w:pPr>
              <w:jc w:val="left"/>
            </w:pPr>
            <w:r>
              <w:rPr>
                <w:rFonts w:ascii="Garamond" w:hAnsi="Garamond"/>
                <w:b w:val="0"/>
                <w:i w:val="0"/>
                <w:sz w:val="20"/>
              </w:rPr>
              <w:t>Lundi 4h</w:t>
            </w:r>
          </w:p>
        </w:tc>
        <w:tc>
          <w:tcPr>
            <w:tcW w:type="dxa" w:w="3024"/>
          </w:tcPr>
          <w:p>
            <w:pPr>
              <w:jc w:val="left"/>
            </w:pPr>
            <w:r>
              <w:rPr>
                <w:rFonts w:ascii="Garamond" w:hAnsi="Garamond"/>
                <w:b w:val="0"/>
                <w:i w:val="0"/>
                <w:sz w:val="20"/>
              </w:rPr>
              <w:t>Médianes horaires 7 j + tRef recommandés par axe</w:t>
            </w:r>
          </w:p>
        </w:tc>
      </w:tr>
      <w:tr>
        <w:tc>
          <w:tcPr>
            <w:tcW w:type="dxa" w:w="3024"/>
            <w:shd w:val="clear" w:fill="E8F3FA"/>
          </w:tcPr>
          <w:p>
            <w:pPr>
              <w:jc w:val="left"/>
            </w:pPr>
            <w:r>
              <w:rPr>
                <w:rFonts w:ascii="Garamond" w:hAnsi="Garamond"/>
                <w:b/>
                <w:i w:val="0"/>
                <w:sz w:val="20"/>
              </w:rPr>
              <w:t>Restaurer les itinéraires officiels</w:t>
            </w:r>
          </w:p>
        </w:tc>
        <w:tc>
          <w:tcPr>
            <w:tcW w:type="dxa" w:w="3024"/>
            <w:shd w:val="clear" w:fill="E8F3FA"/>
          </w:tcPr>
          <w:p>
            <w:pPr>
              <w:jc w:val="left"/>
            </w:pPr>
            <w:r>
              <w:rPr>
                <w:rFonts w:ascii="Garamond" w:hAnsi="Garamond"/>
                <w:b w:val="0"/>
                <w:i w:val="0"/>
                <w:sz w:val="20"/>
              </w:rPr>
              <w:t>Manuel</w:t>
            </w:r>
          </w:p>
        </w:tc>
        <w:tc>
          <w:tcPr>
            <w:tcW w:type="dxa" w:w="3024"/>
            <w:shd w:val="clear" w:fill="E8F3FA"/>
          </w:tcPr>
          <w:p>
            <w:pPr>
              <w:jc w:val="left"/>
            </w:pPr>
            <w:r>
              <w:rPr>
                <w:rFonts w:ascii="Garamond" w:hAnsi="Garamond"/>
                <w:b w:val="0"/>
                <w:i w:val="0"/>
                <w:sz w:val="20"/>
              </w:rPr>
              <w:t>Réécrit les tracés officiels sans toucher au reste</w:t>
            </w:r>
          </w:p>
        </w:tc>
      </w:tr>
      <w:tr>
        <w:tc>
          <w:tcPr>
            <w:tcW w:type="dxa" w:w="3024"/>
          </w:tcPr>
          <w:p>
            <w:pPr>
              <w:jc w:val="left"/>
            </w:pPr>
            <w:r>
              <w:rPr>
                <w:rFonts w:ascii="Garamond" w:hAnsi="Garamond"/>
                <w:b/>
                <w:i w:val="0"/>
                <w:sz w:val="20"/>
              </w:rPr>
              <w:t>Deploy — Firebase Hosting</w:t>
            </w:r>
          </w:p>
        </w:tc>
        <w:tc>
          <w:tcPr>
            <w:tcW w:type="dxa" w:w="3024"/>
          </w:tcPr>
          <w:p>
            <w:pPr>
              <w:jc w:val="left"/>
            </w:pPr>
            <w:r>
              <w:rPr>
                <w:rFonts w:ascii="Garamond" w:hAnsi="Garamond"/>
                <w:b w:val="0"/>
                <w:i w:val="0"/>
                <w:sz w:val="20"/>
              </w:rPr>
              <w:t>À chaque publication</w:t>
            </w:r>
          </w:p>
        </w:tc>
        <w:tc>
          <w:tcPr>
            <w:tcW w:type="dxa" w:w="3024"/>
          </w:tcPr>
          <w:p>
            <w:pPr>
              <w:jc w:val="left"/>
            </w:pPr>
            <w:r>
              <w:rPr>
                <w:rFonts w:ascii="Garamond" w:hAnsi="Garamond"/>
                <w:b w:val="0"/>
                <w:i w:val="0"/>
                <w:sz w:val="20"/>
              </w:rPr>
              <w:t>Build, déploiement du site et des règles de sécurité</w:t>
            </w:r>
          </w:p>
        </w:tc>
      </w:tr>
    </w:tbl>
    <w:p>
      <w:pPr>
        <w:spacing w:after="120" w:line="276" w:lineRule="auto"/>
        <w:jc w:val="both"/>
      </w:pPr>
      <w:r>
        <w:rPr>
          <w:rFonts w:ascii="Garamond" w:hAnsi="Garamond"/>
          <w:b w:val="0"/>
          <w:i w:val="0"/>
          <w:sz w:val="24"/>
        </w:rPr>
      </w:r>
    </w:p>
    <w:p>
      <w:pPr>
        <w:pStyle w:val="Titre2"/>
        <w:spacing w:before="280" w:after="160"/>
      </w:pPr>
      <w:r>
        <w:rPr>
          <w:rFonts w:ascii="Garamond" w:hAnsi="Garamond"/>
        </w:rPr>
        <w:t>5. Application installable (PWA)</w:t>
      </w:r>
    </w:p>
    <w:p>
      <w:pPr>
        <w:spacing w:after="160" w:line="276" w:lineRule="auto"/>
        <w:jc w:val="both"/>
      </w:pPr>
      <w:r>
        <w:rPr>
          <w:rFonts w:ascii="Garamond" w:hAnsi="Garamond"/>
          <w:b w:val="0"/>
          <w:i w:val="0"/>
          <w:sz w:val="24"/>
        </w:rPr>
        <w:t>L'application est une Progressive Web App complète : manifeste, icônes générées depuis le logo officiel du PAA, et service worker en stratégie « réseau d'abord, cache en secours » — les données restent toujours fraîches, mais l'interface survit à une coupure réseau. Un bouton « Installer l'application » (barre latérale et en-tête mobile) déclenche l'installation native sur ordinateur (Chrome/Edge : fenêtre autonome, raccourci bureau) et Android ; sur iPhone/iPad, un guide pas-à-pas accompagne l'ajout à l'écran d'accueil.</w:t>
      </w:r>
    </w:p>
    <w:p>
      <w:r>
        <w:br w:type="page"/>
      </w:r>
    </w:p>
    <w:p>
      <w:pPr>
        <w:pStyle w:val="Titre1"/>
        <w:spacing w:before="360" w:after="200"/>
      </w:pPr>
      <w:r>
        <w:rPr>
          <w:rFonts w:ascii="Garamond" w:hAnsi="Garamond"/>
        </w:rPr>
        <w:t>II. FONCTIONNALITES DETAILLEES</w:t>
      </w:r>
    </w:p>
    <w:p>
      <w:pPr>
        <w:pStyle w:val="Titre2"/>
        <w:spacing w:before="280" w:after="160"/>
      </w:pPr>
      <w:r>
        <w:rPr>
          <w:rFonts w:ascii="Garamond" w:hAnsi="Garamond"/>
        </w:rPr>
        <w:t>1. Tableau de bord temps réel (page publique)</w:t>
      </w:r>
    </w:p>
    <w:p>
      <w:pPr>
        <w:pStyle w:val="Titre3"/>
        <w:spacing w:before="200" w:after="120"/>
      </w:pPr>
      <w:r>
        <w:rPr>
          <w:rFonts w:ascii="Garamond" w:hAnsi="Garamond"/>
        </w:rPr>
        <w:t>A. Bandeau d’identité et état global</w:t>
      </w:r>
    </w:p>
    <w:p>
      <w:pPr>
        <w:spacing w:after="160" w:line="276" w:lineRule="auto"/>
        <w:jc w:val="both"/>
      </w:pPr>
      <w:r>
        <w:rPr>
          <w:rFonts w:ascii="Garamond" w:hAnsi="Garamond"/>
          <w:b w:val="0"/>
          <w:i w:val="0"/>
          <w:sz w:val="24"/>
        </w:rPr>
        <w:t>Un bandeau héro ouvre la page : diaporama en fondu enchaîné de photographies du port (points de navigation cliquables), voile bleu nuit pour la lisibilité, badge de fraîcheur des données à trois paliers (EN DIRECT &lt; 3 min ; synchronisation ralentie ; interrompue — le système ne prétend jamais être « live » sur une donnée périmée), heure de dernière mise à jour, niveau global du réseau calculé en direct, et bouton d'actualisation manuelle. Le fond de page porte une image identitaire (carte de Côte d'Ivoire en scène portuaire) tamisée par un voile sombre.</w:t>
      </w:r>
    </w:p>
    <w:p>
      <w:pPr>
        <w:pStyle w:val="Titre3"/>
        <w:spacing w:before="200" w:after="120"/>
      </w:pPr>
      <w:r>
        <w:rPr>
          <w:rFonts w:ascii="Garamond" w:hAnsi="Garamond"/>
        </w:rPr>
        <w:t>B. Indicateurs clés (KPI)</w:t>
      </w:r>
    </w:p>
    <w:p>
      <w:pPr>
        <w:spacing w:after="160" w:line="276" w:lineRule="auto"/>
        <w:jc w:val="both"/>
      </w:pPr>
      <w:r>
        <w:rPr>
          <w:rFonts w:ascii="Garamond" w:hAnsi="Garamond"/>
          <w:b w:val="0"/>
          <w:i w:val="0"/>
          <w:sz w:val="24"/>
        </w:rPr>
        <w:t>Cinq cartes synthétiques : temps moyen du réseau, tronçon critique (l'axe le plus dégradé — aller ou retour — et son tronçon réel le plus long ; affiche « Aucun tronçon critique » avec badge vert quand tout le réseau est sous le seuil orange), meilleur axe (sens le plus fluide, départagé par ratio), usagers connectés en direct, et vitesse moyenne. Chaque carte porte une pastille de fraîcheur de la donnée.</w:t>
      </w:r>
    </w:p>
    <w:p>
      <w:pPr>
        <w:pStyle w:val="Titre3"/>
        <w:spacing w:before="200" w:after="120"/>
      </w:pPr>
      <w:r>
        <w:rPr>
          <w:rFonts w:ascii="Garamond" w:hAnsi="Garamond"/>
        </w:rPr>
        <w:t>C. Carte interactive</w:t>
      </w:r>
    </w:p>
    <w:p>
      <w:pPr>
        <w:spacing w:after="160" w:line="276" w:lineRule="auto"/>
        <w:jc w:val="both"/>
      </w:pPr>
      <w:r>
        <w:rPr>
          <w:rFonts w:ascii="Garamond" w:hAnsi="Garamond"/>
          <w:b w:val="0"/>
          <w:i w:val="0"/>
          <w:sz w:val="24"/>
        </w:rPr>
        <w:t>Carte Leaflet centrée sur la zone portuaire : les trois axes sont tracés selon leur itinéraire officiel enregistré (aller en trait plein coloré par le niveau de congestion live, retour en pointillés coloré par le niveau du sens retour), les tronçons se superposent avec leur propre couleur et des étiquettes de délimitation (T1A ▶ … ◀ T1A). Une pastille cliquable au départ de chaque axe (« ▶ CARENA ») ouvre le panneau d'indicateurs de l'axe complet (temps, vitesse, retard et ratio pour chaque sens) et centre la carte sur l'axe. Le clic sur un tronçon ouvre un popup avec ses indicateurs propres, proportionnels à sa longueur (vitesse, temps estimé, retard, ratio, référence). Un commutateur bascule entre « Temps réel » et « Prévisions ML » (la carte se colore alors selon les niveaux prévus par le modèle). La légende N1→N5 est affichée en permanence.</w:t>
      </w:r>
    </w:p>
    <w:p>
      <w:pPr>
        <w:pStyle w:val="Titre3"/>
        <w:spacing w:before="200" w:after="120"/>
      </w:pPr>
      <w:r>
        <w:rPr>
          <w:rFonts w:ascii="Garamond" w:hAnsi="Garamond"/>
        </w:rPr>
        <w:t>D. Recherche de destination et temps de trajet (ETA)</w:t>
      </w:r>
    </w:p>
    <w:p>
      <w:pPr>
        <w:spacing w:after="160" w:line="276" w:lineRule="auto"/>
        <w:jc w:val="both"/>
      </w:pPr>
      <w:r>
        <w:rPr>
          <w:rFonts w:ascii="Garamond" w:hAnsi="Garamond"/>
          <w:b w:val="0"/>
          <w:i w:val="0"/>
          <w:sz w:val="24"/>
        </w:rPr>
        <w:t>Un champ de recherche géocodée permet à un usager (avec géolocalisation consentie — bannière de consentement dédiée, positions anonymisées) de choisir une destination : le système calcule l'itinéraire et le temps d'arrivée estimé, affiché dans une carte « Mon trajet » qui n'apparaît que lorsqu'une destination est choisie. Le panneau de droite liste les alertes actives (axes N3+) et l'état synthétique de chaque axe (aller et retour).</w:t>
      </w:r>
    </w:p>
    <w:p>
      <w:pPr>
        <w:pStyle w:val="Titre2"/>
        <w:spacing w:before="280" w:after="160"/>
      </w:pPr>
      <w:r>
        <w:rPr>
          <w:rFonts w:ascii="Garamond" w:hAnsi="Garamond"/>
        </w:rPr>
        <w:t>2. Analyses graphiques</w:t>
      </w:r>
    </w:p>
    <w:p>
      <w:pPr>
        <w:pStyle w:val="Titre3"/>
        <w:spacing w:before="200" w:after="120"/>
      </w:pPr>
      <w:r>
        <w:rPr>
          <w:rFonts w:ascii="Garamond" w:hAnsi="Garamond"/>
        </w:rPr>
        <w:t>A. Courbe des temps par heure (fenêtre glissante)</w:t>
      </w:r>
    </w:p>
    <w:p>
      <w:pPr>
        <w:spacing w:after="160" w:line="276" w:lineRule="auto"/>
        <w:jc w:val="both"/>
      </w:pPr>
      <w:r>
        <w:rPr>
          <w:rFonts w:ascii="Garamond" w:hAnsi="Garamond"/>
          <w:b w:val="0"/>
          <w:i w:val="0"/>
          <w:sz w:val="24"/>
        </w:rPr>
        <w:t>Temps de traversée moyen par heure pour les trois axes (sens aller ou retour au choix, filtre par axe) : l'axe des abscisses est une fenêtre glissante de 24 heures qui se termine à l'heure présente — le point le plus à droite est « maintenant » (accentué), le graphe avance automatiquement au fil du temps.</w:t>
      </w:r>
    </w:p>
    <w:p>
      <w:pPr>
        <w:pStyle w:val="Titre3"/>
        <w:spacing w:before="200" w:after="120"/>
      </w:pPr>
      <w:r>
        <w:rPr>
          <w:rFonts w:ascii="Garamond" w:hAnsi="Garamond"/>
        </w:rPr>
        <w:t>B. Minimum / Moyenne / Maximum par axe</w:t>
      </w:r>
    </w:p>
    <w:p>
      <w:pPr>
        <w:spacing w:after="160" w:line="276" w:lineRule="auto"/>
        <w:jc w:val="both"/>
      </w:pPr>
      <w:r>
        <w:rPr>
          <w:rFonts w:ascii="Garamond" w:hAnsi="Garamond"/>
          <w:b w:val="0"/>
          <w:i w:val="0"/>
          <w:sz w:val="24"/>
        </w:rPr>
        <w:t>Barres groupées par axe (rampe monochrome bleue, légende explicite) sur une fenêtre au choix : 24 h (relevés bruts), 7 jours ou 30 jours (agrégats quotidiens combinés avec le jour courant — la légende affiche la profondeur réellement disponible). L'infobulle précise le nombre de mesures et l'écart moyen à la référence.</w:t>
      </w:r>
    </w:p>
    <w:p>
      <w:pPr>
        <w:pStyle w:val="Titre3"/>
        <w:spacing w:before="200" w:after="120"/>
      </w:pPr>
      <w:r>
        <w:rPr>
          <w:rFonts w:ascii="Garamond" w:hAnsi="Garamond"/>
        </w:rPr>
        <w:t>C. Répartition par niveau</w:t>
      </w:r>
    </w:p>
    <w:p>
      <w:pPr>
        <w:spacing w:after="160" w:line="276" w:lineRule="auto"/>
        <w:jc w:val="both"/>
      </w:pPr>
      <w:r>
        <w:rPr>
          <w:rFonts w:ascii="Garamond" w:hAnsi="Garamond"/>
          <w:b w:val="0"/>
          <w:i w:val="0"/>
          <w:sz w:val="24"/>
        </w:rPr>
        <w:t>Anneau de répartition du temps passé dans chaque état (Fluide, Modéré, Dense, Congestionné), filtrable par type de jour (tous / ouvrables / week-end) et suivant la fenêtre 24 h / 7 j / 30 j. Les états vides affichent un message explicite (par exemple : la fenêtre 24 h d'un dimanche ne contient aucun jour ouvrable).</w:t>
      </w:r>
    </w:p>
    <w:p>
      <w:pPr>
        <w:pStyle w:val="Titre3"/>
        <w:spacing w:before="200" w:after="120"/>
      </w:pPr>
      <w:r>
        <w:rPr>
          <w:rFonts w:ascii="Garamond" w:hAnsi="Garamond"/>
        </w:rPr>
        <w:t>D. Heatmap congestion jour × heure</w:t>
      </w:r>
    </w:p>
    <w:p>
      <w:pPr>
        <w:spacing w:after="160" w:line="276" w:lineRule="auto"/>
        <w:jc w:val="both"/>
      </w:pPr>
      <w:r>
        <w:rPr>
          <w:rFonts w:ascii="Garamond" w:hAnsi="Garamond"/>
          <w:b w:val="0"/>
          <w:i w:val="0"/>
          <w:sz w:val="24"/>
        </w:rPr>
        <w:t>Grille 7 jours × 17 heures (6h–22h) par axe et par sens : chaque cellule compare le trafic observé à la référence horaire de ce créneau précis — les références sont recalibrées chaque semaine sur les médianes des 7 derniers jours de relevés réels (repli sur la base historique de février 2025 pour les créneaux insuffisamment couverts). La légende affiche la date du dernier calibrage. Cette conception détecte les anomalies plutôt que de signaler les heures de pointe structurelles.</w:t>
      </w:r>
    </w:p>
    <w:p>
      <w:pPr>
        <w:pStyle w:val="Titre3"/>
        <w:spacing w:before="200" w:after="120"/>
      </w:pPr>
      <w:r>
        <w:rPr>
          <w:rFonts w:ascii="Garamond" w:hAnsi="Garamond"/>
        </w:rPr>
        <w:t>E. Export d’images</w:t>
      </w:r>
    </w:p>
    <w:p>
      <w:pPr>
        <w:spacing w:after="160" w:line="276" w:lineRule="auto"/>
        <w:jc w:val="both"/>
      </w:pPr>
      <w:r>
        <w:rPr>
          <w:rFonts w:ascii="Garamond" w:hAnsi="Garamond"/>
          <w:b w:val="0"/>
          <w:i w:val="0"/>
          <w:sz w:val="24"/>
        </w:rPr>
        <w:t>Chaque graphique (courbe, barres, anneau) dispose d'un bouton de téléchargement en image PNG datée, sur fond blanc, prête à insérer dans une présentation ou un courriel.</w:t>
      </w:r>
    </w:p>
    <w:p>
      <w:pPr>
        <w:pStyle w:val="Titre2"/>
        <w:spacing w:before="280" w:after="160"/>
      </w:pPr>
      <w:r>
        <w:rPr>
          <w:rFonts w:ascii="Garamond" w:hAnsi="Garamond"/>
        </w:rPr>
        <w:t>3. Rapports officiels</w:t>
      </w:r>
    </w:p>
    <w:p>
      <w:pPr>
        <w:spacing w:after="160" w:line="276" w:lineRule="auto"/>
        <w:jc w:val="both"/>
      </w:pPr>
      <w:r>
        <w:rPr>
          <w:rFonts w:ascii="Garamond" w:hAnsi="Garamond"/>
          <w:b w:val="0"/>
          <w:i w:val="0"/>
          <w:sz w:val="24"/>
        </w:rPr>
        <w:t>La page Rapports génère des rapports officiels au gabarit DEESP-RF-01 : sélection du type (journalier, hebdomadaire, mensuel), de la période et du format. Trois formats parfaitement cohérents entre eux (mêmes chiffres, mêmes textes, même charte) sont produits à partir d'un modèle de données unique calculé depuis les relevés archivés :</w:t>
      </w:r>
    </w:p>
    <w:p>
      <w:pPr>
        <w:spacing w:after="80" w:line="276" w:lineRule="auto"/>
        <w:ind w:left="280"/>
        <w:jc w:val="both"/>
      </w:pPr>
      <w:r>
        <w:rPr>
          <w:rFonts w:ascii="Garamond" w:hAnsi="Garamond"/>
          <w:b w:val="0"/>
          <w:i w:val="0"/>
          <w:sz w:val="24"/>
        </w:rPr>
        <w:t xml:space="preserve">–  </w:t>
      </w:r>
      <w:r>
        <w:rPr>
          <w:rFonts w:ascii="Garamond" w:hAnsi="Garamond"/>
          <w:b/>
          <w:i w:val="0"/>
          <w:sz w:val="24"/>
        </w:rPr>
        <w:t xml:space="preserve">Word (.docx) : </w:t>
      </w:r>
      <w:r>
        <w:rPr>
          <w:rFonts w:ascii="Garamond" w:hAnsi="Garamond"/>
          <w:b w:val="0"/>
          <w:i w:val="0"/>
          <w:sz w:val="24"/>
        </w:rPr>
        <w:t>page de garde officielle DEESP reprise à l'identique, sommaire actualisable, styles de titres hiérarchisés, corps Garamond 12 justifié, tableaux chartés, graphiques haute résolution par axe et par indicateur, interprétations adaptées aux valeurs, recommandations numérotées, annexes.</w:t>
      </w:r>
    </w:p>
    <w:p>
      <w:pPr>
        <w:spacing w:after="80" w:line="276" w:lineRule="auto"/>
        <w:ind w:left="280"/>
        <w:jc w:val="both"/>
      </w:pPr>
      <w:r>
        <w:rPr>
          <w:rFonts w:ascii="Garamond" w:hAnsi="Garamond"/>
          <w:b w:val="0"/>
          <w:i w:val="0"/>
          <w:sz w:val="24"/>
        </w:rPr>
        <w:t xml:space="preserve">–  </w:t>
      </w:r>
      <w:r>
        <w:rPr>
          <w:rFonts w:ascii="Garamond" w:hAnsi="Garamond"/>
          <w:b/>
          <w:i w:val="0"/>
          <w:sz w:val="24"/>
        </w:rPr>
        <w:t xml:space="preserve">PDF : </w:t>
      </w:r>
      <w:r>
        <w:rPr>
          <w:rFonts w:ascii="Garamond" w:hAnsi="Garamond"/>
          <w:b w:val="0"/>
          <w:i w:val="0"/>
          <w:sz w:val="24"/>
        </w:rPr>
        <w:t>même structure et même charte (page de garde, sommaire paginé, polices serif embarquées, bordure double officielle), généré entièrement côté client.</w:t>
      </w:r>
    </w:p>
    <w:p>
      <w:pPr>
        <w:spacing w:after="80" w:line="276" w:lineRule="auto"/>
        <w:ind w:left="280"/>
        <w:jc w:val="both"/>
      </w:pPr>
      <w:r>
        <w:rPr>
          <w:rFonts w:ascii="Garamond" w:hAnsi="Garamond"/>
          <w:b w:val="0"/>
          <w:i w:val="0"/>
          <w:sz w:val="24"/>
        </w:rPr>
        <w:t xml:space="preserve">–  </w:t>
      </w:r>
      <w:r>
        <w:rPr>
          <w:rFonts w:ascii="Garamond" w:hAnsi="Garamond"/>
          <w:b/>
          <w:i w:val="0"/>
          <w:sz w:val="24"/>
        </w:rPr>
        <w:t xml:space="preserve">Excel (.xlsx) : </w:t>
      </w:r>
      <w:r>
        <w:rPr>
          <w:rFonts w:ascii="Garamond" w:hAnsi="Garamond"/>
          <w:b w:val="0"/>
          <w:i w:val="0"/>
          <w:sz w:val="24"/>
        </w:rPr>
        <w:t>feuilles Synthèse, une par indicateur (temps minimal/moyen/maximal par créneau et par axe) et Données brutes ; en-têtes figés, lignes alternées, nombres formatés.</w:t>
      </w:r>
    </w:p>
    <w:p>
      <w:pPr>
        <w:spacing w:after="160" w:line="276" w:lineRule="auto"/>
        <w:jc w:val="both"/>
      </w:pPr>
      <w:r>
        <w:rPr>
          <w:rFonts w:ascii="Garamond" w:hAnsi="Garamond"/>
          <w:b w:val="0"/>
          <w:i w:val="0"/>
          <w:sz w:val="24"/>
        </w:rPr>
        <w:t>Chaque génération est consignée dans un registre persistant (nom, type, période, auteur, date) partagé entre les utilisateurs connectés : les rapports survivent au rechargement et restent retéléchargeables — leur contenu est régénéré à la demande depuis les archives, de façon déterministe pour une période close.</w:t>
      </w:r>
    </w:p>
    <w:p>
      <w:pPr>
        <w:pStyle w:val="Titre2"/>
        <w:spacing w:before="280" w:after="160"/>
      </w:pPr>
      <w:r>
        <w:rPr>
          <w:rFonts w:ascii="Garamond" w:hAnsi="Garamond"/>
        </w:rPr>
        <w:t>4. Export de données</w:t>
      </w:r>
    </w:p>
    <w:p>
      <w:pPr>
        <w:spacing w:after="160" w:line="276" w:lineRule="auto"/>
        <w:jc w:val="both"/>
      </w:pPr>
      <w:r>
        <w:rPr>
          <w:rFonts w:ascii="Garamond" w:hAnsi="Garamond"/>
          <w:b w:val="0"/>
          <w:i w:val="0"/>
          <w:sz w:val="24"/>
        </w:rPr>
        <w:t>La page Export télécharge les mesures en CSV ou Excel depuis trois sources : la collecte automatique (période au choix), le cliché temps réel, ou le jeu historique de février 2025. Un compteur annonce le volume, et un aperçu affiche les 8 premières lignes avec les colonnes réelles du fichier avant téléchargement.</w:t>
      </w:r>
    </w:p>
    <w:p>
      <w:pPr>
        <w:pStyle w:val="Titre2"/>
        <w:spacing w:before="280" w:after="160"/>
      </w:pPr>
      <w:r>
        <w:rPr>
          <w:rFonts w:ascii="Garamond" w:hAnsi="Garamond"/>
        </w:rPr>
        <w:t>5. Assistant IA FlowPort</w:t>
      </w:r>
    </w:p>
    <w:p>
      <w:pPr>
        <w:spacing w:after="160" w:line="276" w:lineRule="auto"/>
        <w:jc w:val="both"/>
      </w:pPr>
      <w:r>
        <w:rPr>
          <w:rFonts w:ascii="Garamond" w:hAnsi="Garamond"/>
          <w:b w:val="0"/>
          <w:i w:val="0"/>
          <w:sz w:val="24"/>
        </w:rPr>
        <w:t>Un assistant conversationnel (modèle Llama 3.3 70B via Groq, repli automatique sur le modèle 8B en cas de quota atteint) répond en français professionnel aux questions sur le trafic. Il est ancré dans les données : chaque question lui transmet l'état temps réel des axes (temps, ratios, niveaux, vitesses), l'historique des 7 derniers jours (moyennes, plages, part du temps en N3+ par axe) et les créneaux à risque prévus par le modèle prédictif pour la journée — il peut ainsi comparer le présent à la normale récente et anticiper, en citant ses sources. Ses réponses sont mises en forme (gras sur les chiffres clés, listes) et jamais génériques.</w:t>
      </w:r>
    </w:p>
    <w:p>
      <w:pPr>
        <w:spacing w:after="160" w:line="276" w:lineRule="auto"/>
        <w:jc w:val="both"/>
      </w:pPr>
      <w:r>
        <w:rPr>
          <w:rFonts w:ascii="Garamond" w:hAnsi="Garamond"/>
          <w:b w:val="0"/>
          <w:i w:val="0"/>
          <w:sz w:val="24"/>
        </w:rPr>
        <w:t>L'assistant est accessible de trois façons : la page dédiée (avec un panneau de recommandations automatiques régénérables et quatre suggestions de questions qui s'adaptent à l'état du réseau — un axe dégradé fait surgir « Pourquoi l'axe X est-il en N4 ? »), un bouton flottant présent sur toutes les pages (conversation partagée, saisie vocale par reconnaissance native du navigateur), et le fil de conversation est conservé durant la session.</w:t>
      </w:r>
    </w:p>
    <w:p>
      <w:pPr>
        <w:pStyle w:val="Titre2"/>
        <w:spacing w:before="280" w:after="160"/>
      </w:pPr>
      <w:r>
        <w:rPr>
          <w:rFonts w:ascii="Garamond" w:hAnsi="Garamond"/>
        </w:rPr>
        <w:t>6. Console d’administration</w:t>
      </w:r>
    </w:p>
    <w:p>
      <w:pPr>
        <w:pStyle w:val="Titre3"/>
        <w:spacing w:before="200" w:after="120"/>
      </w:pPr>
      <w:r>
        <w:rPr>
          <w:rFonts w:ascii="Garamond" w:hAnsi="Garamond"/>
        </w:rPr>
        <w:t>A. Gestion des axes</w:t>
      </w:r>
    </w:p>
    <w:p>
      <w:pPr>
        <w:spacing w:after="160" w:line="276" w:lineRule="auto"/>
        <w:jc w:val="both"/>
      </w:pPr>
      <w:r>
        <w:rPr>
          <w:rFonts w:ascii="Garamond" w:hAnsi="Garamond"/>
          <w:b w:val="0"/>
          <w:i w:val="0"/>
          <w:sz w:val="24"/>
        </w:rPr>
        <w:t>Création, modification, activation/désactivation et suppression des axes. L'éditeur de tracé est entièrement visuel : sur une carte interactive, l'administrateur ajoute un point d'un clic, le déplace en le glissant, en insère un entre deux points en cliquant sur le trait, le supprime d'un clic droit ; la saisie de coordonnées, l'import en masse et le collage depuis Google Maps (avec vérification automatique que le point est bien sur une route) restent disponibles en parallèle, synchronisés. Le système calcule ensuite les itinéraires routiers candidats (TomTom) passant par les points et propose de choisir le bon — distance et temps de référence sont pré-remplis. Toute modification enregistrée s'applique immédiatement sur la carte de tous les utilisateurs, et le tracé enregistré fait foi (il n'est plus écrasé par les recalculs automatiques).</w:t>
      </w:r>
    </w:p>
    <w:p>
      <w:pPr>
        <w:pStyle w:val="Titre3"/>
        <w:spacing w:before="200" w:after="120"/>
      </w:pPr>
      <w:r>
        <w:rPr>
          <w:rFonts w:ascii="Garamond" w:hAnsi="Garamond"/>
        </w:rPr>
        <w:t>B. Calibrage des temps de référence</w:t>
      </w:r>
    </w:p>
    <w:p>
      <w:pPr>
        <w:spacing w:after="160" w:line="276" w:lineRule="auto"/>
        <w:jc w:val="both"/>
      </w:pPr>
      <w:r>
        <w:rPr>
          <w:rFonts w:ascii="Garamond" w:hAnsi="Garamond"/>
          <w:b w:val="0"/>
          <w:i w:val="0"/>
          <w:sz w:val="24"/>
        </w:rPr>
        <w:t>Un panneau de calibrage affiche, pour chaque axe, la référence actuelle et la référence recommandée — calculée chaque semaine comme le 33e centile des relevés réels (la position statistique des références historiquement bien calées) — avec l'écart en pourcentage, la taille de l'échantillon et la part de temps que l'axe passerait au-dessus du seuil orange avec la valeur recommandée. Un badge « Bien calibré » (écart &lt; 5 %) ou un bouton « Appliquer » : rien n'est jamais modifié sans décision humaine, et l'application est instantanée sur toute la chaîne (couleurs, alertes, seuils).</w:t>
      </w:r>
    </w:p>
    <w:p>
      <w:pPr>
        <w:pStyle w:val="Titre3"/>
        <w:spacing w:before="200" w:after="120"/>
      </w:pPr>
      <w:r>
        <w:rPr>
          <w:rFonts w:ascii="Garamond" w:hAnsi="Garamond"/>
        </w:rPr>
        <w:t>C. Tronçons, seuils, utilisateurs</w:t>
      </w:r>
    </w:p>
    <w:p>
      <w:pPr>
        <w:spacing w:after="160" w:line="276" w:lineRule="auto"/>
        <w:jc w:val="both"/>
      </w:pPr>
      <w:r>
        <w:rPr>
          <w:rFonts w:ascii="Garamond" w:hAnsi="Garamond"/>
          <w:b w:val="0"/>
          <w:i w:val="0"/>
          <w:sz w:val="24"/>
        </w:rPr>
        <w:t>Gestion des tronçons avec le même éditeur visuel (délimitation sur l'axe parent ou tracé libre), gestion des seuils d'alerte par axe, et gestion complète des comptes utilisateurs : création (rôle public ou administrateur), modification, désactivation, réinitialisation de mot de passe par email. Les règles de sécurité interdisent l'auto-promotion en administrateur.</w:t>
      </w:r>
    </w:p>
    <w:p>
      <w:pPr>
        <w:pStyle w:val="Titre3"/>
        <w:spacing w:before="200" w:after="120"/>
      </w:pPr>
      <w:r>
        <w:rPr>
          <w:rFonts w:ascii="Garamond" w:hAnsi="Garamond"/>
        </w:rPr>
        <w:t>D. Notifications et suivi temps réel</w:t>
      </w:r>
    </w:p>
    <w:p>
      <w:pPr>
        <w:spacing w:after="160" w:line="276" w:lineRule="auto"/>
        <w:jc w:val="both"/>
      </w:pPr>
      <w:r>
        <w:rPr>
          <w:rFonts w:ascii="Garamond" w:hAnsi="Garamond"/>
          <w:b w:val="0"/>
          <w:i w:val="0"/>
          <w:sz w:val="24"/>
        </w:rPr>
        <w:t>Un onglet Notifications gère les destinataires des emails (adresse, nom, cases Alertes / Récap matinal) — la configuration est réservée aux administrateurs et lue par les traitements via le compte de service. Un onglet dédié affiche enfin la carte des usagers connectés en temps réel (positions anonymisées, disparition automatique après 5 minutes d'inactivité).</w:t>
      </w:r>
    </w:p>
    <w:p>
      <w:pPr>
        <w:pStyle w:val="Titre2"/>
        <w:spacing w:before="280" w:after="160"/>
      </w:pPr>
      <w:r>
        <w:rPr>
          <w:rFonts w:ascii="Garamond" w:hAnsi="Garamond"/>
        </w:rPr>
        <w:t>7. Page Méthodologie (transparence publique)</w:t>
      </w:r>
    </w:p>
    <w:p>
      <w:pPr>
        <w:spacing w:after="160" w:line="276" w:lineRule="auto"/>
        <w:jc w:val="both"/>
      </w:pPr>
      <w:r>
        <w:rPr>
          <w:rFonts w:ascii="Garamond" w:hAnsi="Garamond"/>
          <w:b w:val="0"/>
          <w:i w:val="0"/>
          <w:sz w:val="24"/>
        </w:rPr>
        <w:t>Une page publique documente la méthodologie complète du système : dispositif de mesure, axes surveillés (valeurs réelles de la configuration), grille des niveaux, principe d'auto-calibrage, modèle prédictif (métadonnées réelles), canaux d'alerte — et une section « Limites connues » assumant les approximations du système. Elle est accessible à tous depuis la navigation.</w:t>
      </w:r>
    </w:p>
    <w:p>
      <w:r>
        <w:br w:type="page"/>
      </w:r>
    </w:p>
    <w:p>
      <w:pPr>
        <w:pStyle w:val="Titre1"/>
        <w:spacing w:before="360" w:after="200"/>
      </w:pPr>
      <w:r>
        <w:rPr>
          <w:rFonts w:ascii="Garamond" w:hAnsi="Garamond"/>
        </w:rPr>
        <w:t>III. METHODOLOGIE DE MESURE ET DE QUALIFICATION</w:t>
      </w:r>
    </w:p>
    <w:p>
      <w:pPr>
        <w:pStyle w:val="Titre2"/>
        <w:spacing w:before="280" w:after="160"/>
      </w:pPr>
      <w:r>
        <w:rPr>
          <w:rFonts w:ascii="Garamond" w:hAnsi="Garamond"/>
        </w:rPr>
        <w:t>1. La grille des niveaux de congestion</w:t>
      </w:r>
    </w:p>
    <w:p>
      <w:pPr>
        <w:spacing w:after="160" w:line="276" w:lineRule="auto"/>
        <w:jc w:val="both"/>
      </w:pPr>
      <w:r>
        <w:rPr>
          <w:rFonts w:ascii="Garamond" w:hAnsi="Garamond"/>
          <w:b w:val="0"/>
          <w:i w:val="0"/>
          <w:sz w:val="24"/>
        </w:rPr>
        <w:t>Chaque mesure est rapportée au temps de référence de son axe : ratio = temps mesuré ÷ temps de référence. La même grille est appliquée partout (carte, indicateurs, graphiques, alertes, rapports) :</w:t>
      </w:r>
    </w:p>
    <w:p>
      <w:pPr>
        <w:spacing w:after="80" w:line="276" w:lineRule="auto"/>
        <w:jc w:val="left"/>
      </w:pPr>
      <w:r>
        <w:rPr>
          <w:rFonts w:ascii="Garamond" w:hAnsi="Garamond"/>
          <w:b w:val="0"/>
          <w:i/>
          <w:color w:val="595959"/>
          <w:sz w:val="20"/>
        </w:rPr>
        <w:t>Tableau 4 — Grille N1→N5. Les seuils d’alerte des rapports valent 1,4× (orange) et 1,8× (rouge) la référence.</w:t>
      </w:r>
    </w:p>
    <w:tbl>
      <w:tblPr>
        <w:tblW w:type="auto" w:w="0"/>
        <w:tblLayout w:type="autofit"/>
        <w:tblLook w:firstColumn="1" w:firstRow="1" w:lastColumn="0" w:lastRow="0" w:noHBand="0" w:noVBand="1" w:val="04A0"/>
        <w:tblBorders>
          <w:top w:val="single" w:sz="4" w:color="B9CDDC"/>
          <w:left w:val="single" w:sz="4" w:color="B9CDDC"/>
          <w:bottom w:val="single" w:sz="4" w:color="B9CDDC"/>
          <w:right w:val="single" w:sz="4" w:color="B9CDDC"/>
          <w:insideH w:val="single" w:sz="4" w:color="B9CDDC"/>
          <w:insideV w:val="single" w:sz="4" w:color="B9CDDC"/>
        </w:tblBorders>
      </w:tblPr>
      <w:tblGrid>
        <w:gridCol w:w="2268"/>
        <w:gridCol w:w="2268"/>
        <w:gridCol w:w="2268"/>
        <w:gridCol w:w="2268"/>
      </w:tblGrid>
      <w:tr>
        <w:tc>
          <w:tcPr>
            <w:tcW w:type="dxa" w:w="2268"/>
            <w:shd w:val="clear" w:fill="0E4C74"/>
          </w:tcPr>
          <w:p>
            <w:pPr>
              <w:jc w:val="center"/>
            </w:pPr>
            <w:r>
              <w:rPr>
                <w:rFonts w:ascii="Garamond" w:hAnsi="Garamond"/>
                <w:b/>
                <w:i w:val="0"/>
                <w:color w:val="FFFFFF"/>
                <w:sz w:val="20"/>
              </w:rPr>
              <w:t>Niveau</w:t>
            </w:r>
          </w:p>
        </w:tc>
        <w:tc>
          <w:tcPr>
            <w:tcW w:type="dxa" w:w="2268"/>
            <w:shd w:val="clear" w:fill="0E4C74"/>
          </w:tcPr>
          <w:p>
            <w:pPr>
              <w:jc w:val="center"/>
            </w:pPr>
            <w:r>
              <w:rPr>
                <w:rFonts w:ascii="Garamond" w:hAnsi="Garamond"/>
                <w:b/>
                <w:i w:val="0"/>
                <w:color w:val="FFFFFF"/>
                <w:sz w:val="20"/>
              </w:rPr>
              <w:t>Qualification</w:t>
            </w:r>
          </w:p>
        </w:tc>
        <w:tc>
          <w:tcPr>
            <w:tcW w:type="dxa" w:w="2268"/>
            <w:shd w:val="clear" w:fill="0E4C74"/>
          </w:tcPr>
          <w:p>
            <w:pPr>
              <w:jc w:val="center"/>
            </w:pPr>
            <w:r>
              <w:rPr>
                <w:rFonts w:ascii="Garamond" w:hAnsi="Garamond"/>
                <w:b/>
                <w:i w:val="0"/>
                <w:color w:val="FFFFFF"/>
                <w:sz w:val="20"/>
              </w:rPr>
              <w:t>Ratio</w:t>
            </w:r>
          </w:p>
        </w:tc>
        <w:tc>
          <w:tcPr>
            <w:tcW w:type="dxa" w:w="2268"/>
            <w:shd w:val="clear" w:fill="0E4C74"/>
          </w:tcPr>
          <w:p>
            <w:pPr>
              <w:jc w:val="center"/>
            </w:pPr>
            <w:r>
              <w:rPr>
                <w:rFonts w:ascii="Garamond" w:hAnsi="Garamond"/>
                <w:b/>
                <w:i w:val="0"/>
                <w:color w:val="FFFFFF"/>
                <w:sz w:val="20"/>
              </w:rPr>
              <w:t>Lecture opérationnelle</w:t>
            </w:r>
          </w:p>
        </w:tc>
      </w:tr>
      <w:tr>
        <w:tc>
          <w:tcPr>
            <w:tcW w:type="dxa" w:w="2268"/>
          </w:tcPr>
          <w:p>
            <w:pPr>
              <w:jc w:val="left"/>
            </w:pPr>
            <w:r>
              <w:rPr>
                <w:rFonts w:ascii="Garamond" w:hAnsi="Garamond"/>
                <w:b/>
                <w:i w:val="0"/>
                <w:sz w:val="20"/>
              </w:rPr>
              <w:t>N1</w:t>
            </w:r>
          </w:p>
        </w:tc>
        <w:tc>
          <w:tcPr>
            <w:tcW w:type="dxa" w:w="2268"/>
          </w:tcPr>
          <w:p>
            <w:pPr>
              <w:jc w:val="left"/>
            </w:pPr>
            <w:r>
              <w:rPr>
                <w:rFonts w:ascii="Garamond" w:hAnsi="Garamond"/>
                <w:b w:val="0"/>
                <w:i w:val="0"/>
                <w:sz w:val="20"/>
              </w:rPr>
              <w:t>Fluide</w:t>
            </w:r>
          </w:p>
        </w:tc>
        <w:tc>
          <w:tcPr>
            <w:tcW w:type="dxa" w:w="2268"/>
          </w:tcPr>
          <w:p>
            <w:pPr>
              <w:jc w:val="right"/>
            </w:pPr>
            <w:r>
              <w:rPr>
                <w:rFonts w:ascii="Garamond" w:hAnsi="Garamond"/>
                <w:b w:val="0"/>
                <w:i w:val="0"/>
                <w:sz w:val="20"/>
              </w:rPr>
              <w:t>≤ 1,10</w:t>
            </w:r>
          </w:p>
        </w:tc>
        <w:tc>
          <w:tcPr>
            <w:tcW w:type="dxa" w:w="2268"/>
          </w:tcPr>
          <w:p>
            <w:pPr>
              <w:jc w:val="left"/>
            </w:pPr>
            <w:r>
              <w:rPr>
                <w:rFonts w:ascii="Garamond" w:hAnsi="Garamond"/>
                <w:b w:val="0"/>
                <w:i w:val="0"/>
                <w:sz w:val="20"/>
              </w:rPr>
              <w:t>Conditions normales</w:t>
            </w:r>
          </w:p>
        </w:tc>
      </w:tr>
      <w:tr>
        <w:tc>
          <w:tcPr>
            <w:tcW w:type="dxa" w:w="2268"/>
            <w:shd w:val="clear" w:fill="E8F3FA"/>
          </w:tcPr>
          <w:p>
            <w:pPr>
              <w:jc w:val="left"/>
            </w:pPr>
            <w:r>
              <w:rPr>
                <w:rFonts w:ascii="Garamond" w:hAnsi="Garamond"/>
                <w:b/>
                <w:i w:val="0"/>
                <w:sz w:val="20"/>
              </w:rPr>
              <w:t>N2</w:t>
            </w:r>
          </w:p>
        </w:tc>
        <w:tc>
          <w:tcPr>
            <w:tcW w:type="dxa" w:w="2268"/>
            <w:shd w:val="clear" w:fill="E8F3FA"/>
          </w:tcPr>
          <w:p>
            <w:pPr>
              <w:jc w:val="left"/>
            </w:pPr>
            <w:r>
              <w:rPr>
                <w:rFonts w:ascii="Garamond" w:hAnsi="Garamond"/>
                <w:b w:val="0"/>
                <w:i w:val="0"/>
                <w:sz w:val="20"/>
              </w:rPr>
              <w:t>Bon</w:t>
            </w:r>
          </w:p>
        </w:tc>
        <w:tc>
          <w:tcPr>
            <w:tcW w:type="dxa" w:w="2268"/>
            <w:shd w:val="clear" w:fill="E8F3FA"/>
          </w:tcPr>
          <w:p>
            <w:pPr>
              <w:jc w:val="right"/>
            </w:pPr>
            <w:r>
              <w:rPr>
                <w:rFonts w:ascii="Garamond" w:hAnsi="Garamond"/>
                <w:b w:val="0"/>
                <w:i w:val="0"/>
                <w:sz w:val="20"/>
              </w:rPr>
              <w:t>1,10 – 1,25</w:t>
            </w:r>
          </w:p>
        </w:tc>
        <w:tc>
          <w:tcPr>
            <w:tcW w:type="dxa" w:w="2268"/>
            <w:shd w:val="clear" w:fill="E8F3FA"/>
          </w:tcPr>
          <w:p>
            <w:pPr>
              <w:jc w:val="left"/>
            </w:pPr>
            <w:r>
              <w:rPr>
                <w:rFonts w:ascii="Garamond" w:hAnsi="Garamond"/>
                <w:b w:val="0"/>
                <w:i w:val="0"/>
                <w:sz w:val="20"/>
              </w:rPr>
              <w:t>Légère densification, surveillance simple</w:t>
            </w:r>
          </w:p>
        </w:tc>
      </w:tr>
      <w:tr>
        <w:tc>
          <w:tcPr>
            <w:tcW w:type="dxa" w:w="2268"/>
          </w:tcPr>
          <w:p>
            <w:pPr>
              <w:jc w:val="left"/>
            </w:pPr>
            <w:r>
              <w:rPr>
                <w:rFonts w:ascii="Garamond" w:hAnsi="Garamond"/>
                <w:b/>
                <w:i w:val="0"/>
                <w:sz w:val="20"/>
              </w:rPr>
              <w:t>N3</w:t>
            </w:r>
          </w:p>
        </w:tc>
        <w:tc>
          <w:tcPr>
            <w:tcW w:type="dxa" w:w="2268"/>
          </w:tcPr>
          <w:p>
            <w:pPr>
              <w:jc w:val="left"/>
            </w:pPr>
            <w:r>
              <w:rPr>
                <w:rFonts w:ascii="Garamond" w:hAnsi="Garamond"/>
                <w:b w:val="0"/>
                <w:i w:val="0"/>
                <w:sz w:val="20"/>
              </w:rPr>
              <w:t>Ralenti</w:t>
            </w:r>
          </w:p>
        </w:tc>
        <w:tc>
          <w:tcPr>
            <w:tcW w:type="dxa" w:w="2268"/>
          </w:tcPr>
          <w:p>
            <w:pPr>
              <w:jc w:val="right"/>
            </w:pPr>
            <w:r>
              <w:rPr>
                <w:rFonts w:ascii="Garamond" w:hAnsi="Garamond"/>
                <w:b w:val="0"/>
                <w:i w:val="0"/>
                <w:sz w:val="20"/>
              </w:rPr>
              <w:t>1,25 – 1,50</w:t>
            </w:r>
          </w:p>
        </w:tc>
        <w:tc>
          <w:tcPr>
            <w:tcW w:type="dxa" w:w="2268"/>
          </w:tcPr>
          <w:p>
            <w:pPr>
              <w:jc w:val="left"/>
            </w:pPr>
            <w:r>
              <w:rPr>
                <w:rFonts w:ascii="Garamond" w:hAnsi="Garamond"/>
                <w:b w:val="0"/>
                <w:i w:val="0"/>
                <w:sz w:val="20"/>
              </w:rPr>
              <w:t>Ralentissements — pré-alertes possibles</w:t>
            </w:r>
          </w:p>
        </w:tc>
      </w:tr>
      <w:tr>
        <w:tc>
          <w:tcPr>
            <w:tcW w:type="dxa" w:w="2268"/>
            <w:shd w:val="clear" w:fill="E8F3FA"/>
          </w:tcPr>
          <w:p>
            <w:pPr>
              <w:jc w:val="left"/>
            </w:pPr>
            <w:r>
              <w:rPr>
                <w:rFonts w:ascii="Garamond" w:hAnsi="Garamond"/>
                <w:b/>
                <w:i w:val="0"/>
                <w:sz w:val="20"/>
              </w:rPr>
              <w:t>N4</w:t>
            </w:r>
          </w:p>
        </w:tc>
        <w:tc>
          <w:tcPr>
            <w:tcW w:type="dxa" w:w="2268"/>
            <w:shd w:val="clear" w:fill="E8F3FA"/>
          </w:tcPr>
          <w:p>
            <w:pPr>
              <w:jc w:val="left"/>
            </w:pPr>
            <w:r>
              <w:rPr>
                <w:rFonts w:ascii="Garamond" w:hAnsi="Garamond"/>
                <w:b w:val="0"/>
                <w:i w:val="0"/>
                <w:sz w:val="20"/>
              </w:rPr>
              <w:t>Congestionné</w:t>
            </w:r>
          </w:p>
        </w:tc>
        <w:tc>
          <w:tcPr>
            <w:tcW w:type="dxa" w:w="2268"/>
            <w:shd w:val="clear" w:fill="E8F3FA"/>
          </w:tcPr>
          <w:p>
            <w:pPr>
              <w:jc w:val="right"/>
            </w:pPr>
            <w:r>
              <w:rPr>
                <w:rFonts w:ascii="Garamond" w:hAnsi="Garamond"/>
                <w:b w:val="0"/>
                <w:i w:val="0"/>
                <w:sz w:val="20"/>
              </w:rPr>
              <w:t>1,50 – 2,00</w:t>
            </w:r>
          </w:p>
        </w:tc>
        <w:tc>
          <w:tcPr>
            <w:tcW w:type="dxa" w:w="2268"/>
            <w:shd w:val="clear" w:fill="E8F3FA"/>
          </w:tcPr>
          <w:p>
            <w:pPr>
              <w:jc w:val="left"/>
            </w:pPr>
            <w:r>
              <w:rPr>
                <w:rFonts w:ascii="Garamond" w:hAnsi="Garamond"/>
                <w:b w:val="0"/>
                <w:i w:val="0"/>
                <w:sz w:val="20"/>
              </w:rPr>
              <w:t>Congestion — alerte email</w:t>
            </w:r>
          </w:p>
        </w:tc>
      </w:tr>
      <w:tr>
        <w:tc>
          <w:tcPr>
            <w:tcW w:type="dxa" w:w="2268"/>
          </w:tcPr>
          <w:p>
            <w:pPr>
              <w:jc w:val="left"/>
            </w:pPr>
            <w:r>
              <w:rPr>
                <w:rFonts w:ascii="Garamond" w:hAnsi="Garamond"/>
                <w:b/>
                <w:i w:val="0"/>
                <w:sz w:val="20"/>
              </w:rPr>
              <w:t>N5</w:t>
            </w:r>
          </w:p>
        </w:tc>
        <w:tc>
          <w:tcPr>
            <w:tcW w:type="dxa" w:w="2268"/>
          </w:tcPr>
          <w:p>
            <w:pPr>
              <w:jc w:val="left"/>
            </w:pPr>
            <w:r>
              <w:rPr>
                <w:rFonts w:ascii="Garamond" w:hAnsi="Garamond"/>
                <w:b w:val="0"/>
                <w:i w:val="0"/>
                <w:sz w:val="20"/>
              </w:rPr>
              <w:t>Très congestionné</w:t>
            </w:r>
          </w:p>
        </w:tc>
        <w:tc>
          <w:tcPr>
            <w:tcW w:type="dxa" w:w="2268"/>
          </w:tcPr>
          <w:p>
            <w:pPr>
              <w:jc w:val="right"/>
            </w:pPr>
            <w:r>
              <w:rPr>
                <w:rFonts w:ascii="Garamond" w:hAnsi="Garamond"/>
                <w:b w:val="0"/>
                <w:i w:val="0"/>
                <w:sz w:val="20"/>
              </w:rPr>
              <w:t>&gt; 2,00</w:t>
            </w:r>
          </w:p>
        </w:tc>
        <w:tc>
          <w:tcPr>
            <w:tcW w:type="dxa" w:w="2268"/>
          </w:tcPr>
          <w:p>
            <w:pPr>
              <w:jc w:val="left"/>
            </w:pPr>
            <w:r>
              <w:rPr>
                <w:rFonts w:ascii="Garamond" w:hAnsi="Garamond"/>
                <w:b w:val="0"/>
                <w:i w:val="0"/>
                <w:sz w:val="20"/>
              </w:rPr>
              <w:t>Situation critique — intervention urgente</w:t>
            </w:r>
          </w:p>
        </w:tc>
      </w:tr>
    </w:tbl>
    <w:p>
      <w:pPr>
        <w:spacing w:after="120" w:line="276" w:lineRule="auto"/>
        <w:jc w:val="both"/>
      </w:pPr>
      <w:r>
        <w:rPr>
          <w:rFonts w:ascii="Garamond" w:hAnsi="Garamond"/>
          <w:b w:val="0"/>
          <w:i w:val="0"/>
          <w:sz w:val="24"/>
        </w:rPr>
      </w:r>
    </w:p>
    <w:p>
      <w:pPr>
        <w:pStyle w:val="Titre2"/>
        <w:spacing w:before="280" w:after="160"/>
      </w:pPr>
      <w:r>
        <w:rPr>
          <w:rFonts w:ascii="Garamond" w:hAnsi="Garamond"/>
        </w:rPr>
        <w:t>2. Références vivantes et auto-calibrage</w:t>
      </w:r>
    </w:p>
    <w:p>
      <w:pPr>
        <w:spacing w:after="160" w:line="276" w:lineRule="auto"/>
        <w:jc w:val="both"/>
      </w:pPr>
      <w:r>
        <w:rPr>
          <w:rFonts w:ascii="Garamond" w:hAnsi="Garamond"/>
          <w:b w:val="0"/>
          <w:i w:val="0"/>
          <w:sz w:val="24"/>
        </w:rPr>
        <w:t>Une référence trop haute rend un axe aveugle aux congestions ; trop basse, il alerte en permanence. FlowPort traite les références comme des données vivantes : chaque semaine, les médianes horaires par axe et par sens sont recalculées sur les 7 derniers jours de relevés (avec un plancher de 10 relevés par créneau) et publiées pour la heatmap et la synthèse ; simultanément, une référence recommandée par axe (33e centile) est proposée à l'administrateur. Ce mécanisme est né d'un diagnostic réel : la référence initiale de l'axe CARENA (27,4 min) se situait au 68e centile des temps observés — l'axe ne pouvait statistiquement presque jamais être signalé congestionné.</w:t>
      </w:r>
    </w:p>
    <w:p>
      <w:pPr>
        <w:pStyle w:val="Titre2"/>
        <w:spacing w:before="280" w:after="160"/>
      </w:pPr>
      <w:r>
        <w:rPr>
          <w:rFonts w:ascii="Garamond" w:hAnsi="Garamond"/>
        </w:rPr>
        <w:t>3. Agrégats quotidiens et économie de lectures</w:t>
      </w:r>
    </w:p>
    <w:p>
      <w:pPr>
        <w:spacing w:after="160" w:line="276" w:lineRule="auto"/>
        <w:jc w:val="both"/>
      </w:pPr>
      <w:r>
        <w:rPr>
          <w:rFonts w:ascii="Garamond" w:hAnsi="Garamond"/>
          <w:b w:val="0"/>
          <w:i w:val="0"/>
          <w:sz w:val="24"/>
        </w:rPr>
        <w:t>Chaque nuit, la journée écoulée (~1 700 relevés) est compactée en 6 agrégats par axe et sens (minimum, moyenne pondérée, maximum, effectifs par niveau). Les vues 7 et 30 jours, l'historique injecté à l'IA et le bilan hebdomadaire lisent ces agrégats : environ 180 lectures au lieu de dizaines de milliers. Cette architecture est le fruit d'un incident réel de dépassement du quota gratuit Firestore (50 000 lectures/jour), diagnostiqué puis résolu : lecture bornée du jeu historique, cache de téléchargement des rapports, et agrégation systématique.</w:t>
      </w:r>
    </w:p>
    <w:p>
      <w:pPr>
        <w:pStyle w:val="Titre1"/>
        <w:spacing w:before="360" w:after="200"/>
      </w:pPr>
      <w:r>
        <w:rPr>
          <w:rFonts w:ascii="Garamond" w:hAnsi="Garamond"/>
        </w:rPr>
        <w:t>IV. NOTIFICATIONS ET ANTICIPATION</w:t>
      </w:r>
    </w:p>
    <w:p>
      <w:pPr>
        <w:pStyle w:val="Titre2"/>
        <w:spacing w:before="280" w:after="160"/>
      </w:pPr>
      <w:r>
        <w:rPr>
          <w:rFonts w:ascii="Garamond" w:hAnsi="Garamond"/>
        </w:rPr>
        <w:t>1. Les cinq canaux email</w:t>
      </w:r>
    </w:p>
    <w:p>
      <w:pPr>
        <w:spacing w:after="80" w:line="276" w:lineRule="auto"/>
        <w:jc w:val="left"/>
      </w:pPr>
      <w:r>
        <w:rPr>
          <w:rFonts w:ascii="Garamond" w:hAnsi="Garamond"/>
          <w:b w:val="0"/>
          <w:i/>
          <w:color w:val="595959"/>
          <w:sz w:val="20"/>
        </w:rPr>
        <w:t>Tableau 5 — Les canaux de notification (Brevo). Destinataires gérés dans Administration → Notifications ; l’état anti-spam (confirmations, cooldowns, historique de tendance) est persisté en base.</w:t>
      </w:r>
    </w:p>
    <w:tbl>
      <w:tblPr>
        <w:tblW w:type="auto" w:w="0"/>
        <w:tblLayout w:type="autofit"/>
        <w:tblLook w:firstColumn="1" w:firstRow="1" w:lastColumn="0" w:lastRow="0" w:noHBand="0" w:noVBand="1" w:val="04A0"/>
        <w:tblBorders>
          <w:top w:val="single" w:sz="4" w:color="B9CDDC"/>
          <w:left w:val="single" w:sz="4" w:color="B9CDDC"/>
          <w:bottom w:val="single" w:sz="4" w:color="B9CDDC"/>
          <w:right w:val="single" w:sz="4" w:color="B9CDDC"/>
          <w:insideH w:val="single" w:sz="4" w:color="B9CDDC"/>
          <w:insideV w:val="single" w:sz="4" w:color="B9CDDC"/>
        </w:tblBorders>
      </w:tblPr>
      <w:tblGrid>
        <w:gridCol w:w="3024"/>
        <w:gridCol w:w="3024"/>
        <w:gridCol w:w="3024"/>
      </w:tblGrid>
      <w:tr>
        <w:tc>
          <w:tcPr>
            <w:tcW w:type="dxa" w:w="3024"/>
            <w:shd w:val="clear" w:fill="0E4C74"/>
          </w:tcPr>
          <w:p>
            <w:pPr>
              <w:jc w:val="center"/>
            </w:pPr>
            <w:r>
              <w:rPr>
                <w:rFonts w:ascii="Garamond" w:hAnsi="Garamond"/>
                <w:b/>
                <w:i w:val="0"/>
                <w:color w:val="FFFFFF"/>
                <w:sz w:val="20"/>
              </w:rPr>
              <w:t>Canal</w:t>
            </w:r>
          </w:p>
        </w:tc>
        <w:tc>
          <w:tcPr>
            <w:tcW w:type="dxa" w:w="3024"/>
            <w:shd w:val="clear" w:fill="0E4C74"/>
          </w:tcPr>
          <w:p>
            <w:pPr>
              <w:jc w:val="center"/>
            </w:pPr>
            <w:r>
              <w:rPr>
                <w:rFonts w:ascii="Garamond" w:hAnsi="Garamond"/>
                <w:b/>
                <w:i w:val="0"/>
                <w:color w:val="FFFFFF"/>
                <w:sz w:val="20"/>
              </w:rPr>
              <w:t>Déclencheur</w:t>
            </w:r>
          </w:p>
        </w:tc>
        <w:tc>
          <w:tcPr>
            <w:tcW w:type="dxa" w:w="3024"/>
            <w:shd w:val="clear" w:fill="0E4C74"/>
          </w:tcPr>
          <w:p>
            <w:pPr>
              <w:jc w:val="center"/>
            </w:pPr>
            <w:r>
              <w:rPr>
                <w:rFonts w:ascii="Garamond" w:hAnsi="Garamond"/>
                <w:b/>
                <w:i w:val="0"/>
                <w:color w:val="FFFFFF"/>
                <w:sz w:val="20"/>
              </w:rPr>
              <w:t>Anti-spam</w:t>
            </w:r>
          </w:p>
        </w:tc>
      </w:tr>
      <w:tr>
        <w:tc>
          <w:tcPr>
            <w:tcW w:type="dxa" w:w="3024"/>
          </w:tcPr>
          <w:p>
            <w:pPr>
              <w:jc w:val="left"/>
            </w:pPr>
            <w:r>
              <w:rPr>
                <w:rFonts w:ascii="Garamond" w:hAnsi="Garamond"/>
                <w:b/>
                <w:i w:val="0"/>
                <w:sz w:val="20"/>
              </w:rPr>
              <w:t>🔴 Alerte congestion</w:t>
            </w:r>
          </w:p>
        </w:tc>
        <w:tc>
          <w:tcPr>
            <w:tcW w:type="dxa" w:w="3024"/>
          </w:tcPr>
          <w:p>
            <w:pPr>
              <w:jc w:val="left"/>
            </w:pPr>
            <w:r>
              <w:rPr>
                <w:rFonts w:ascii="Garamond" w:hAnsi="Garamond"/>
                <w:b w:val="0"/>
                <w:i w:val="0"/>
                <w:sz w:val="20"/>
              </w:rPr>
              <w:t>Axe N4+ confirmé sur 2 relevés consécutifs (~10 min)</w:t>
            </w:r>
          </w:p>
        </w:tc>
        <w:tc>
          <w:tcPr>
            <w:tcW w:type="dxa" w:w="3024"/>
          </w:tcPr>
          <w:p>
            <w:pPr>
              <w:jc w:val="left"/>
            </w:pPr>
            <w:r>
              <w:rPr>
                <w:rFonts w:ascii="Garamond" w:hAnsi="Garamond"/>
                <w:b w:val="0"/>
                <w:i w:val="0"/>
                <w:sz w:val="20"/>
              </w:rPr>
              <w:t>1/h max par axe ; message de retour à la normale</w:t>
            </w:r>
          </w:p>
        </w:tc>
      </w:tr>
      <w:tr>
        <w:tc>
          <w:tcPr>
            <w:tcW w:type="dxa" w:w="3024"/>
            <w:shd w:val="clear" w:fill="E8F3FA"/>
          </w:tcPr>
          <w:p>
            <w:pPr>
              <w:jc w:val="left"/>
            </w:pPr>
            <w:r>
              <w:rPr>
                <w:rFonts w:ascii="Garamond" w:hAnsi="Garamond"/>
                <w:b/>
                <w:i w:val="0"/>
                <w:sz w:val="20"/>
              </w:rPr>
              <w:t>🟠 Pré-alerte tendance</w:t>
            </w:r>
          </w:p>
        </w:tc>
        <w:tc>
          <w:tcPr>
            <w:tcW w:type="dxa" w:w="3024"/>
            <w:shd w:val="clear" w:fill="E8F3FA"/>
          </w:tcPr>
          <w:p>
            <w:pPr>
              <w:jc w:val="left"/>
            </w:pPr>
            <w:r>
              <w:rPr>
                <w:rFonts w:ascii="Garamond" w:hAnsi="Garamond"/>
                <w:b w:val="0"/>
                <w:i w:val="0"/>
                <w:sz w:val="20"/>
              </w:rPr>
              <w:t>Axe N3 avec temps en hausse sur 3 relevés (+15 %)</w:t>
            </w:r>
          </w:p>
        </w:tc>
        <w:tc>
          <w:tcPr>
            <w:tcW w:type="dxa" w:w="3024"/>
            <w:shd w:val="clear" w:fill="E8F3FA"/>
          </w:tcPr>
          <w:p>
            <w:pPr>
              <w:jc w:val="left"/>
            </w:pPr>
            <w:r>
              <w:rPr>
                <w:rFonts w:ascii="Garamond" w:hAnsi="Garamond"/>
                <w:b w:val="0"/>
                <w:i w:val="0"/>
                <w:sz w:val="20"/>
              </w:rPr>
              <w:t>1/2 h max par axe ; annulée si alerte réelle</w:t>
            </w:r>
          </w:p>
        </w:tc>
      </w:tr>
      <w:tr>
        <w:tc>
          <w:tcPr>
            <w:tcW w:type="dxa" w:w="3024"/>
          </w:tcPr>
          <w:p>
            <w:pPr>
              <w:jc w:val="left"/>
            </w:pPr>
            <w:r>
              <w:rPr>
                <w:rFonts w:ascii="Garamond" w:hAnsi="Garamond"/>
                <w:b/>
                <w:i w:val="0"/>
                <w:sz w:val="20"/>
              </w:rPr>
              <w:t>🔮 Pré-alerte prévisionnelle</w:t>
            </w:r>
          </w:p>
        </w:tc>
        <w:tc>
          <w:tcPr>
            <w:tcW w:type="dxa" w:w="3024"/>
          </w:tcPr>
          <w:p>
            <w:pPr>
              <w:jc w:val="left"/>
            </w:pPr>
            <w:r>
              <w:rPr>
                <w:rFonts w:ascii="Garamond" w:hAnsi="Garamond"/>
                <w:b w:val="0"/>
                <w:i w:val="0"/>
                <w:sz w:val="20"/>
              </w:rPr>
              <w:t>Créneau suivant prévu N3+ par le modèle ML</w:t>
            </w:r>
          </w:p>
        </w:tc>
        <w:tc>
          <w:tcPr>
            <w:tcW w:type="dxa" w:w="3024"/>
          </w:tcPr>
          <w:p>
            <w:pPr>
              <w:jc w:val="left"/>
            </w:pPr>
            <w:r>
              <w:rPr>
                <w:rFonts w:ascii="Garamond" w:hAnsi="Garamond"/>
                <w:b w:val="0"/>
                <w:i w:val="0"/>
                <w:sz w:val="20"/>
              </w:rPr>
              <w:t>1 par créneau ; inhibée si congestion déjà signalée</w:t>
            </w:r>
          </w:p>
        </w:tc>
      </w:tr>
      <w:tr>
        <w:tc>
          <w:tcPr>
            <w:tcW w:type="dxa" w:w="3024"/>
            <w:shd w:val="clear" w:fill="E8F3FA"/>
          </w:tcPr>
          <w:p>
            <w:pPr>
              <w:jc w:val="left"/>
            </w:pPr>
            <w:r>
              <w:rPr>
                <w:rFonts w:ascii="Garamond" w:hAnsi="Garamond"/>
                <w:b/>
                <w:i w:val="0"/>
                <w:sz w:val="20"/>
              </w:rPr>
              <w:t>📊 Récap matinal</w:t>
            </w:r>
          </w:p>
        </w:tc>
        <w:tc>
          <w:tcPr>
            <w:tcW w:type="dxa" w:w="3024"/>
            <w:shd w:val="clear" w:fill="E8F3FA"/>
          </w:tcPr>
          <w:p>
            <w:pPr>
              <w:jc w:val="left"/>
            </w:pPr>
            <w:r>
              <w:rPr>
                <w:rFonts w:ascii="Garamond" w:hAnsi="Garamond"/>
                <w:b w:val="0"/>
                <w:i w:val="0"/>
                <w:sz w:val="20"/>
              </w:rPr>
              <w:t>Tous les jours à 6h30</w:t>
            </w:r>
          </w:p>
        </w:tc>
        <w:tc>
          <w:tcPr>
            <w:tcW w:type="dxa" w:w="3024"/>
            <w:shd w:val="clear" w:fill="E8F3FA"/>
          </w:tcPr>
          <w:p>
            <w:pPr>
              <w:jc w:val="left"/>
            </w:pPr>
            <w:r>
              <w:rPr>
                <w:rFonts w:ascii="Garamond" w:hAnsi="Garamond"/>
                <w:b w:val="0"/>
                <w:i w:val="0"/>
                <w:sz w:val="20"/>
              </w:rPr>
              <w:t>État live + bilan de la veille + créneaux à risque du jour</w:t>
            </w:r>
          </w:p>
        </w:tc>
      </w:tr>
      <w:tr>
        <w:tc>
          <w:tcPr>
            <w:tcW w:type="dxa" w:w="3024"/>
          </w:tcPr>
          <w:p>
            <w:pPr>
              <w:jc w:val="left"/>
            </w:pPr>
            <w:r>
              <w:rPr>
                <w:rFonts w:ascii="Garamond" w:hAnsi="Garamond"/>
                <w:b/>
                <w:i w:val="0"/>
                <w:sz w:val="20"/>
              </w:rPr>
              <w:t>📈 Bilan hebdomadaire</w:t>
            </w:r>
          </w:p>
        </w:tc>
        <w:tc>
          <w:tcPr>
            <w:tcW w:type="dxa" w:w="3024"/>
          </w:tcPr>
          <w:p>
            <w:pPr>
              <w:jc w:val="left"/>
            </w:pPr>
            <w:r>
              <w:rPr>
                <w:rFonts w:ascii="Garamond" w:hAnsi="Garamond"/>
                <w:b w:val="0"/>
                <w:i w:val="0"/>
                <w:sz w:val="20"/>
              </w:rPr>
              <w:t>Lundi 6h45</w:t>
            </w:r>
          </w:p>
        </w:tc>
        <w:tc>
          <w:tcPr>
            <w:tcW w:type="dxa" w:w="3024"/>
          </w:tcPr>
          <w:p>
            <w:pPr>
              <w:jc w:val="left"/>
            </w:pPr>
            <w:r>
              <w:rPr>
                <w:rFonts w:ascii="Garamond" w:hAnsi="Garamond"/>
                <w:b w:val="0"/>
                <w:i w:val="0"/>
                <w:sz w:val="20"/>
              </w:rPr>
              <w:t>Semaine écoulée vs précédente, par axe, avec évolution</w:t>
            </w:r>
          </w:p>
        </w:tc>
      </w:tr>
    </w:tbl>
    <w:p>
      <w:pPr>
        <w:spacing w:after="120" w:line="276" w:lineRule="auto"/>
        <w:jc w:val="both"/>
      </w:pPr>
      <w:r>
        <w:rPr>
          <w:rFonts w:ascii="Garamond" w:hAnsi="Garamond"/>
          <w:b w:val="0"/>
          <w:i w:val="0"/>
          <w:sz w:val="24"/>
        </w:rPr>
      </w:r>
    </w:p>
    <w:p>
      <w:pPr>
        <w:pStyle w:val="Titre2"/>
        <w:spacing w:before="280" w:after="160"/>
      </w:pPr>
      <w:r>
        <w:rPr>
          <w:rFonts w:ascii="Garamond" w:hAnsi="Garamond"/>
        </w:rPr>
        <w:t>2. Gabarit des emails</w:t>
      </w:r>
    </w:p>
    <w:p>
      <w:pPr>
        <w:spacing w:after="160" w:line="276" w:lineRule="auto"/>
        <w:jc w:val="both"/>
      </w:pPr>
      <w:r>
        <w:rPr>
          <w:rFonts w:ascii="Garamond" w:hAnsi="Garamond"/>
          <w:b w:val="0"/>
          <w:i w:val="0"/>
          <w:sz w:val="24"/>
        </w:rPr>
        <w:t>Tous les emails partagent un gabarit HTML à la charte (bleu océan/lagune), lisibles sur mobile, avec les chiffres clés en tableau, un bouton d'accès direct au tableau de bord et la mention du mode de gestion des destinataires. Si un secret de configuration manque, les notifications se désactivent proprement sans jamais perturber la collecte.</w:t>
      </w:r>
    </w:p>
    <w:p>
      <w:pPr>
        <w:pStyle w:val="Titre1"/>
        <w:spacing w:before="360" w:after="200"/>
      </w:pPr>
      <w:r>
        <w:rPr>
          <w:rFonts w:ascii="Garamond" w:hAnsi="Garamond"/>
        </w:rPr>
        <w:t>V. MODELE PREDICTIF</w:t>
      </w:r>
    </w:p>
    <w:p>
      <w:pPr>
        <w:spacing w:after="160" w:line="276" w:lineRule="auto"/>
        <w:jc w:val="both"/>
      </w:pPr>
      <w:r>
        <w:rPr>
          <w:rFonts w:ascii="Garamond" w:hAnsi="Garamond"/>
          <w:b w:val="0"/>
          <w:i w:val="0"/>
          <w:sz w:val="24"/>
        </w:rPr>
        <w:t>Un classifieur Random Forest (100 estimateurs, scikit-learn) prédit le niveau de congestion par axe, sens, jour de semaine et heure. Le modèle de démonstration actuel a été entraîné sur 2 016 mesures réelles de février 2025 et atteint 79,18 % de précision en validation. Ses 336 prévisions alimentent : le mode « Prévisions ML » de la carte, les créneaux à surveiller du récap matinal, les pré-alertes prévisionnelles et le contexte de l'assistant IA. Le pipeline de réentraînement (ml/train_model.py) est prêt à être réalimenté par la base de collecte accumulée — le modèle est conçu pour être mis à jour périodiquement à mesure que l'historique s'approfondit.</w:t>
      </w:r>
    </w:p>
    <w:p>
      <w:pPr>
        <w:pStyle w:val="Titre1"/>
        <w:spacing w:before="360" w:after="200"/>
      </w:pPr>
      <w:r>
        <w:rPr>
          <w:rFonts w:ascii="Garamond" w:hAnsi="Garamond"/>
        </w:rPr>
        <w:t>VI. SECURITE ET GOUVERNANCE DES DONNEES</w:t>
      </w:r>
    </w:p>
    <w:p>
      <w:pPr>
        <w:spacing w:after="80" w:line="276" w:lineRule="auto"/>
        <w:ind w:left="280"/>
        <w:jc w:val="both"/>
      </w:pPr>
      <w:r>
        <w:rPr>
          <w:rFonts w:ascii="Garamond" w:hAnsi="Garamond"/>
          <w:b w:val="0"/>
          <w:i w:val="0"/>
          <w:sz w:val="24"/>
        </w:rPr>
        <w:t xml:space="preserve">–  </w:t>
      </w:r>
      <w:r>
        <w:rPr>
          <w:rFonts w:ascii="Garamond" w:hAnsi="Garamond"/>
          <w:b/>
          <w:i w:val="0"/>
          <w:sz w:val="24"/>
        </w:rPr>
        <w:t xml:space="preserve">Rôles : </w:t>
      </w:r>
      <w:r>
        <w:rPr>
          <w:rFonts w:ascii="Garamond" w:hAnsi="Garamond"/>
          <w:b w:val="0"/>
          <w:i w:val="0"/>
          <w:sz w:val="24"/>
        </w:rPr>
        <w:t>trois niveaux d'accès — public (dashboard, IA, méthodologie), utilisateur connecté (+ graphiques, rapports, export), administrateur (+ console d'administration). Les pages restreintes sont inaccessibles sans authentification Firebase.</w:t>
      </w:r>
    </w:p>
    <w:p>
      <w:pPr>
        <w:spacing w:after="80" w:line="276" w:lineRule="auto"/>
        <w:ind w:left="280"/>
        <w:jc w:val="both"/>
      </w:pPr>
      <w:r>
        <w:rPr>
          <w:rFonts w:ascii="Garamond" w:hAnsi="Garamond"/>
          <w:b w:val="0"/>
          <w:i w:val="0"/>
          <w:sz w:val="24"/>
        </w:rPr>
        <w:t xml:space="preserve">–  </w:t>
      </w:r>
      <w:r>
        <w:rPr>
          <w:rFonts w:ascii="Garamond" w:hAnsi="Garamond"/>
          <w:b/>
          <w:i w:val="0"/>
          <w:sz w:val="24"/>
        </w:rPr>
        <w:t xml:space="preserve">Règles Firestore : </w:t>
      </w:r>
      <w:r>
        <w:rPr>
          <w:rFonts w:ascii="Garamond" w:hAnsi="Garamond"/>
          <w:b w:val="0"/>
          <w:i w:val="0"/>
          <w:sz w:val="24"/>
        </w:rPr>
        <w:t>chaque collection est verrouillée au plus juste ; la création de compte ne peut attribuer que le rôle public (pas d'auto-promotion admin) ; la configuration des notifications n'est lisible que par les administrateurs.</w:t>
      </w:r>
    </w:p>
    <w:p>
      <w:pPr>
        <w:spacing w:after="80" w:line="276" w:lineRule="auto"/>
        <w:ind w:left="280"/>
        <w:jc w:val="both"/>
      </w:pPr>
      <w:r>
        <w:rPr>
          <w:rFonts w:ascii="Garamond" w:hAnsi="Garamond"/>
          <w:b w:val="0"/>
          <w:i w:val="0"/>
          <w:sz w:val="24"/>
        </w:rPr>
        <w:t xml:space="preserve">–  </w:t>
      </w:r>
      <w:r>
        <w:rPr>
          <w:rFonts w:ascii="Garamond" w:hAnsi="Garamond"/>
          <w:b/>
          <w:i w:val="0"/>
          <w:sz w:val="24"/>
        </w:rPr>
        <w:t xml:space="preserve">Compte de service : </w:t>
      </w:r>
      <w:r>
        <w:rPr>
          <w:rFonts w:ascii="Garamond" w:hAnsi="Garamond"/>
          <w:b w:val="0"/>
          <w:i w:val="0"/>
          <w:sz w:val="24"/>
        </w:rPr>
        <w:t>les traitements planifiés s'authentifient avec un compte bot dédié dont les identifiants sont stockés en secrets chiffrés GitHub Actions (comme toutes les clés API : TomTom, Google, Groq, Brevo, Firebase).</w:t>
      </w:r>
    </w:p>
    <w:p>
      <w:pPr>
        <w:spacing w:after="80" w:line="276" w:lineRule="auto"/>
        <w:ind w:left="280"/>
        <w:jc w:val="both"/>
      </w:pPr>
      <w:r>
        <w:rPr>
          <w:rFonts w:ascii="Garamond" w:hAnsi="Garamond"/>
          <w:b w:val="0"/>
          <w:i w:val="0"/>
          <w:sz w:val="24"/>
        </w:rPr>
        <w:t xml:space="preserve">–  </w:t>
      </w:r>
      <w:r>
        <w:rPr>
          <w:rFonts w:ascii="Garamond" w:hAnsi="Garamond"/>
          <w:b/>
          <w:i w:val="0"/>
          <w:sz w:val="24"/>
        </w:rPr>
        <w:t xml:space="preserve">Vie privée : </w:t>
      </w:r>
      <w:r>
        <w:rPr>
          <w:rFonts w:ascii="Garamond" w:hAnsi="Garamond"/>
          <w:b w:val="0"/>
          <w:i w:val="0"/>
          <w:sz w:val="24"/>
        </w:rPr>
        <w:t>la géolocalisation des usagers requiert un consentement explicite (bannière dédiée) ; les positions partagées sont anonymisées (identifiant de session aléatoire) et expirent après 5 minutes d'inactivité.</w:t>
      </w:r>
    </w:p>
    <w:p>
      <w:pPr>
        <w:pStyle w:val="Titre1"/>
        <w:spacing w:before="360" w:after="200"/>
      </w:pPr>
      <w:r>
        <w:rPr>
          <w:rFonts w:ascii="Garamond" w:hAnsi="Garamond"/>
        </w:rPr>
        <w:t>VII. QUALITE LOGICIELLE</w:t>
      </w:r>
    </w:p>
    <w:p>
      <w:pPr>
        <w:spacing w:after="160" w:line="276" w:lineRule="auto"/>
        <w:jc w:val="both"/>
      </w:pPr>
      <w:r>
        <w:rPr>
          <w:rFonts w:ascii="Garamond" w:hAnsi="Garamond"/>
          <w:b w:val="0"/>
          <w:i w:val="0"/>
          <w:sz w:val="24"/>
        </w:rPr>
        <w:t>Le projet est adossé à une suite de 44 tests unitaires (Vitest) couvrant la logique métier : indicateurs, agrégations, calculs d'itinéraires, géométrie, et le modèle de données partagé des rapports (séries temporelles, détection des heures de pointe, formatage français, dégradation sans historique). L'analyse statique (ESLint 10, règles React strictes) est maintenue à zéro erreur. Chaque publication déclenche automatiquement la construction et le déploiement (hébergement + règles de sécurité) — 32 versions ont été livrées sur les deux derniers jours du développement, illustrant la fluidité de la chaîne.</w:t>
      </w:r>
    </w:p>
    <w:p>
      <w:pPr>
        <w:pStyle w:val="Titre1"/>
        <w:spacing w:before="360" w:after="200"/>
      </w:pPr>
      <w:r>
        <w:rPr>
          <w:rFonts w:ascii="Garamond" w:hAnsi="Garamond"/>
        </w:rPr>
        <w:t>VIII. LIMITES CONNUES ET PERSPECTIVES</w:t>
      </w:r>
    </w:p>
    <w:p>
      <w:pPr>
        <w:spacing w:after="80" w:line="276" w:lineRule="auto"/>
        <w:ind w:left="280"/>
        <w:jc w:val="both"/>
      </w:pPr>
      <w:r>
        <w:rPr>
          <w:rFonts w:ascii="Garamond" w:hAnsi="Garamond"/>
          <w:b w:val="0"/>
          <w:i w:val="0"/>
          <w:sz w:val="24"/>
        </w:rPr>
        <w:t xml:space="preserve">–  </w:t>
      </w:r>
      <w:r>
        <w:rPr>
          <w:rFonts w:ascii="Garamond" w:hAnsi="Garamond"/>
          <w:b/>
          <w:i w:val="0"/>
          <w:sz w:val="24"/>
        </w:rPr>
        <w:t xml:space="preserve">Mesure au niveau de l’axe : </w:t>
      </w:r>
      <w:r>
        <w:rPr>
          <w:rFonts w:ascii="Garamond" w:hAnsi="Garamond"/>
          <w:b w:val="0"/>
          <w:i w:val="0"/>
          <w:sz w:val="24"/>
        </w:rPr>
        <w:t>le temps mesuré correspond à l'itinéraire le plus rapide entre les extrémités ; les indicateurs de tronçons en sont dérivés proportionnellement à leur longueur. Une mesure indépendante par tronçon (points de passage imposés) est une évolution identifiée.</w:t>
      </w:r>
    </w:p>
    <w:p>
      <w:pPr>
        <w:spacing w:after="80" w:line="276" w:lineRule="auto"/>
        <w:ind w:left="280"/>
        <w:jc w:val="both"/>
      </w:pPr>
      <w:r>
        <w:rPr>
          <w:rFonts w:ascii="Garamond" w:hAnsi="Garamond"/>
          <w:b w:val="0"/>
          <w:i w:val="0"/>
          <w:sz w:val="24"/>
        </w:rPr>
        <w:t xml:space="preserve">–  </w:t>
      </w:r>
      <w:r>
        <w:rPr>
          <w:rFonts w:ascii="Garamond" w:hAnsi="Garamond"/>
          <w:b/>
          <w:i w:val="0"/>
          <w:sz w:val="24"/>
        </w:rPr>
        <w:t xml:space="preserve">Modèle prédictif de démonstration : </w:t>
      </w:r>
      <w:r>
        <w:rPr>
          <w:rFonts w:ascii="Garamond" w:hAnsi="Garamond"/>
          <w:b w:val="0"/>
          <w:i w:val="0"/>
          <w:sz w:val="24"/>
        </w:rPr>
        <w:t>entraîné sur février 2025, il doit être réentraîné sur la base accumulée pour refléter la saisonnalité actuelle — le pipeline est prêt.</w:t>
      </w:r>
    </w:p>
    <w:p>
      <w:pPr>
        <w:spacing w:after="80" w:line="276" w:lineRule="auto"/>
        <w:ind w:left="280"/>
        <w:jc w:val="both"/>
      </w:pPr>
      <w:r>
        <w:rPr>
          <w:rFonts w:ascii="Garamond" w:hAnsi="Garamond"/>
          <w:b w:val="0"/>
          <w:i w:val="0"/>
          <w:sz w:val="24"/>
        </w:rPr>
        <w:t xml:space="preserve">–  </w:t>
      </w:r>
      <w:r>
        <w:rPr>
          <w:rFonts w:ascii="Garamond" w:hAnsi="Garamond"/>
          <w:b/>
          <w:i w:val="0"/>
          <w:sz w:val="24"/>
        </w:rPr>
        <w:t xml:space="preserve">Quotas gratuits : </w:t>
      </w:r>
      <w:r>
        <w:rPr>
          <w:rFonts w:ascii="Garamond" w:hAnsi="Garamond"/>
          <w:b w:val="0"/>
          <w:i w:val="0"/>
          <w:sz w:val="24"/>
        </w:rPr>
        <w:t>le plan Firebase gratuit (50 000 lectures/jour) est désormais confortable grâce aux agrégats, mais un passage au plan à l'usage (coût estimé &lt; 1 €/mois) est recommandé avant une mise en production à fort trafic.</w:t>
      </w:r>
    </w:p>
    <w:p>
      <w:pPr>
        <w:spacing w:after="80" w:line="276" w:lineRule="auto"/>
        <w:ind w:left="280"/>
        <w:jc w:val="both"/>
      </w:pPr>
      <w:r>
        <w:rPr>
          <w:rFonts w:ascii="Garamond" w:hAnsi="Garamond"/>
          <w:b w:val="0"/>
          <w:i w:val="0"/>
          <w:sz w:val="24"/>
        </w:rPr>
        <w:t xml:space="preserve">–  </w:t>
      </w:r>
      <w:r>
        <w:rPr>
          <w:rFonts w:ascii="Garamond" w:hAnsi="Garamond"/>
          <w:b/>
          <w:i w:val="0"/>
          <w:sz w:val="24"/>
        </w:rPr>
        <w:t xml:space="preserve">Perspectives : </w:t>
      </w:r>
      <w:r>
        <w:rPr>
          <w:rFonts w:ascii="Garamond" w:hAnsi="Garamond"/>
          <w:b w:val="0"/>
          <w:i w:val="0"/>
          <w:sz w:val="24"/>
        </w:rPr>
        <w:t>mesure par tronçon, réentraînement automatique périodique du modèle, rapport hebdomadaire PDF en pièce jointe, historique long terme (rétention et archivage), application aux autres corridors logistiques du PAA.</w:t>
      </w:r>
    </w:p>
    <w:p>
      <w:pPr>
        <w:pStyle w:val="Titre1"/>
        <w:spacing w:before="360" w:after="200"/>
      </w:pPr>
      <w:r>
        <w:rPr>
          <w:rFonts w:ascii="Garamond" w:hAnsi="Garamond"/>
        </w:rPr>
        <w:t>CONCLUSION</w:t>
      </w:r>
    </w:p>
    <w:p>
      <w:pPr>
        <w:spacing w:after="160" w:line="276" w:lineRule="auto"/>
        <w:jc w:val="both"/>
      </w:pPr>
      <w:r>
        <w:rPr>
          <w:rFonts w:ascii="Garamond" w:hAnsi="Garamond"/>
          <w:b w:val="0"/>
          <w:i w:val="0"/>
          <w:sz w:val="24"/>
        </w:rPr>
        <w:t>FlowPort livre au Port Autonome d'Abidjan une capacité nouvelle : une connaissance continue, objective et historisée du trafic de sa zone portuaire, assortie d'une anticipation à trois horizons (minutes, heure, journée) et d'une restitution officielle conforme aux usages de la DEESP. Le système est complet, gratuit à exploiter, sécurisé, documenté (page Méthodologie publique, guide utilisateur, présent rapport) et conçu pour s'améliorer seul : chaque jour de fonctionnement enrichit la base de mesures qui recalibre ses références et affinera ses prévisions. Il constitue une fondation directement extensible à d'autres corridors et à des mesures plus fines.</w:t>
      </w:r>
    </w:p>
    <w:p>
      <w:pPr>
        <w:spacing w:after="40" w:line="276" w:lineRule="auto"/>
        <w:jc w:val="both"/>
      </w:pPr>
      <w:r>
        <w:rPr>
          <w:rFonts w:ascii="Garamond" w:hAnsi="Garamond"/>
          <w:b w:val="0"/>
          <w:i w:val="0"/>
          <w:sz w:val="24"/>
        </w:rPr>
        <w:t>Document établi le 05/07/2026. Validé par : Direction des Études Économiques, de la Stratégie et de la Planification — Département Études Économiques et Financières.</w:t>
      </w:r>
    </w:p>
    <w:p>
      <w:pPr>
        <w:spacing w:after="480" w:line="276" w:lineRule="auto"/>
        <w:jc w:val="both"/>
      </w:pPr>
      <w:r>
        <w:rPr>
          <w:rFonts w:ascii="Garamond" w:hAnsi="Garamond"/>
          <w:b w:val="0"/>
          <w:i w:val="0"/>
          <w:sz w:val="24"/>
        </w:rPr>
        <w:t>Signature et cachet :</w:t>
      </w:r>
    </w:p>
    <w:p>
      <w:pPr>
        <w:pStyle w:val="Titre1"/>
        <w:spacing w:before="360" w:after="200"/>
      </w:pPr>
      <w:r>
        <w:rPr>
          <w:rFonts w:ascii="Garamond" w:hAnsi="Garamond"/>
        </w:rPr>
        <w:t>ANNEXES</w:t>
      </w:r>
    </w:p>
    <w:p>
      <w:pPr>
        <w:pStyle w:val="Titre2"/>
        <w:spacing w:before="280" w:after="160"/>
      </w:pPr>
      <w:r>
        <w:rPr>
          <w:rFonts w:ascii="Garamond" w:hAnsi="Garamond"/>
        </w:rPr>
        <w:t>Annexe 1 — Pile technologique</w:t>
      </w:r>
    </w:p>
    <w:p>
      <w:pPr>
        <w:spacing w:after="80" w:line="276" w:lineRule="auto"/>
        <w:jc w:val="left"/>
      </w:pPr>
      <w:r>
        <w:rPr>
          <w:rFonts w:ascii="Garamond" w:hAnsi="Garamond"/>
          <w:b w:val="0"/>
          <w:i/>
          <w:color w:val="595959"/>
          <w:sz w:val="20"/>
        </w:rPr>
        <w:t>Tableau 6 — Technologies par couche. Tous les services utilisés disposent d’un palier gratuit suffisant.</w:t>
      </w:r>
    </w:p>
    <w:tbl>
      <w:tblPr>
        <w:tblW w:type="auto" w:w="0"/>
        <w:tblLayout w:type="autofit"/>
        <w:tblLook w:firstColumn="1" w:firstRow="1" w:lastColumn="0" w:lastRow="0" w:noHBand="0" w:noVBand="1" w:val="04A0"/>
        <w:tblBorders>
          <w:top w:val="single" w:sz="4" w:color="B9CDDC"/>
          <w:left w:val="single" w:sz="4" w:color="B9CDDC"/>
          <w:bottom w:val="single" w:sz="4" w:color="B9CDDC"/>
          <w:right w:val="single" w:sz="4" w:color="B9CDDC"/>
          <w:insideH w:val="single" w:sz="4" w:color="B9CDDC"/>
          <w:insideV w:val="single" w:sz="4" w:color="B9CDDC"/>
        </w:tblBorders>
      </w:tblPr>
      <w:tblGrid>
        <w:gridCol w:w="4536"/>
        <w:gridCol w:w="4536"/>
      </w:tblGrid>
      <w:tr>
        <w:tc>
          <w:tcPr>
            <w:tcW w:type="dxa" w:w="4536"/>
            <w:shd w:val="clear" w:fill="0E4C74"/>
          </w:tcPr>
          <w:p>
            <w:pPr>
              <w:jc w:val="center"/>
            </w:pPr>
            <w:r>
              <w:rPr>
                <w:rFonts w:ascii="Garamond" w:hAnsi="Garamond"/>
                <w:b/>
                <w:i w:val="0"/>
                <w:color w:val="FFFFFF"/>
                <w:sz w:val="20"/>
              </w:rPr>
              <w:t>Couche</w:t>
            </w:r>
          </w:p>
        </w:tc>
        <w:tc>
          <w:tcPr>
            <w:tcW w:type="dxa" w:w="4536"/>
            <w:shd w:val="clear" w:fill="0E4C74"/>
          </w:tcPr>
          <w:p>
            <w:pPr>
              <w:jc w:val="center"/>
            </w:pPr>
            <w:r>
              <w:rPr>
                <w:rFonts w:ascii="Garamond" w:hAnsi="Garamond"/>
                <w:b/>
                <w:i w:val="0"/>
                <w:color w:val="FFFFFF"/>
                <w:sz w:val="20"/>
              </w:rPr>
              <w:t>Technologies</w:t>
            </w:r>
          </w:p>
        </w:tc>
      </w:tr>
      <w:tr>
        <w:tc>
          <w:tcPr>
            <w:tcW w:type="dxa" w:w="4536"/>
          </w:tcPr>
          <w:p>
            <w:pPr>
              <w:jc w:val="left"/>
            </w:pPr>
            <w:r>
              <w:rPr>
                <w:rFonts w:ascii="Garamond" w:hAnsi="Garamond"/>
                <w:b/>
                <w:i w:val="0"/>
                <w:sz w:val="20"/>
              </w:rPr>
              <w:t>Interface</w:t>
            </w:r>
          </w:p>
        </w:tc>
        <w:tc>
          <w:tcPr>
            <w:tcW w:type="dxa" w:w="4536"/>
          </w:tcPr>
          <w:p>
            <w:pPr>
              <w:jc w:val="left"/>
            </w:pPr>
            <w:r>
              <w:rPr>
                <w:rFonts w:ascii="Garamond" w:hAnsi="Garamond"/>
                <w:b w:val="0"/>
                <w:i w:val="0"/>
                <w:sz w:val="20"/>
              </w:rPr>
              <w:t>React 19 · Vite 8 · Tailwind CSS 4 · Leaflet/react-leaflet · Chart.js · lucide-react · police Sora (titres) / Inter (données)</w:t>
            </w:r>
          </w:p>
        </w:tc>
      </w:tr>
      <w:tr>
        <w:tc>
          <w:tcPr>
            <w:tcW w:type="dxa" w:w="4536"/>
            <w:shd w:val="clear" w:fill="E8F3FA"/>
          </w:tcPr>
          <w:p>
            <w:pPr>
              <w:jc w:val="left"/>
            </w:pPr>
            <w:r>
              <w:rPr>
                <w:rFonts w:ascii="Garamond" w:hAnsi="Garamond"/>
                <w:b/>
                <w:i w:val="0"/>
                <w:sz w:val="20"/>
              </w:rPr>
              <w:t>Données</w:t>
            </w:r>
          </w:p>
        </w:tc>
        <w:tc>
          <w:tcPr>
            <w:tcW w:type="dxa" w:w="4536"/>
            <w:shd w:val="clear" w:fill="E8F3FA"/>
          </w:tcPr>
          <w:p>
            <w:pPr>
              <w:jc w:val="left"/>
            </w:pPr>
            <w:r>
              <w:rPr>
                <w:rFonts w:ascii="Garamond" w:hAnsi="Garamond"/>
                <w:b w:val="0"/>
                <w:i w:val="0"/>
                <w:sz w:val="20"/>
              </w:rPr>
              <w:t>Firebase (Hosting, Authentication, Cloud Firestore)</w:t>
            </w:r>
          </w:p>
        </w:tc>
      </w:tr>
      <w:tr>
        <w:tc>
          <w:tcPr>
            <w:tcW w:type="dxa" w:w="4536"/>
          </w:tcPr>
          <w:p>
            <w:pPr>
              <w:jc w:val="left"/>
            </w:pPr>
            <w:r>
              <w:rPr>
                <w:rFonts w:ascii="Garamond" w:hAnsi="Garamond"/>
                <w:b/>
                <w:i w:val="0"/>
                <w:sz w:val="20"/>
              </w:rPr>
              <w:t>Mesure trafic</w:t>
            </w:r>
          </w:p>
        </w:tc>
        <w:tc>
          <w:tcPr>
            <w:tcW w:type="dxa" w:w="4536"/>
          </w:tcPr>
          <w:p>
            <w:pPr>
              <w:jc w:val="left"/>
            </w:pPr>
            <w:r>
              <w:rPr>
                <w:rFonts w:ascii="Garamond" w:hAnsi="Garamond"/>
                <w:b w:val="0"/>
                <w:i w:val="0"/>
                <w:sz w:val="20"/>
              </w:rPr>
              <w:t>Google Distance Matrix (principal) · TomTom Routing (secours et itinéraires) · OSRM (validation routière)</w:t>
            </w:r>
          </w:p>
        </w:tc>
      </w:tr>
      <w:tr>
        <w:tc>
          <w:tcPr>
            <w:tcW w:type="dxa" w:w="4536"/>
            <w:shd w:val="clear" w:fill="E8F3FA"/>
          </w:tcPr>
          <w:p>
            <w:pPr>
              <w:jc w:val="left"/>
            </w:pPr>
            <w:r>
              <w:rPr>
                <w:rFonts w:ascii="Garamond" w:hAnsi="Garamond"/>
                <w:b/>
                <w:i w:val="0"/>
                <w:sz w:val="20"/>
              </w:rPr>
              <w:t>Automatisations</w:t>
            </w:r>
          </w:p>
        </w:tc>
        <w:tc>
          <w:tcPr>
            <w:tcW w:type="dxa" w:w="4536"/>
            <w:shd w:val="clear" w:fill="E8F3FA"/>
          </w:tcPr>
          <w:p>
            <w:pPr>
              <w:jc w:val="left"/>
            </w:pPr>
            <w:r>
              <w:rPr>
                <w:rFonts w:ascii="Garamond" w:hAnsi="Garamond"/>
                <w:b w:val="0"/>
                <w:i w:val="0"/>
                <w:sz w:val="20"/>
              </w:rPr>
              <w:t>GitHub Actions (7 workflows) · Node.js 22</w:t>
            </w:r>
          </w:p>
        </w:tc>
      </w:tr>
      <w:tr>
        <w:tc>
          <w:tcPr>
            <w:tcW w:type="dxa" w:w="4536"/>
          </w:tcPr>
          <w:p>
            <w:pPr>
              <w:jc w:val="left"/>
            </w:pPr>
            <w:r>
              <w:rPr>
                <w:rFonts w:ascii="Garamond" w:hAnsi="Garamond"/>
                <w:b/>
                <w:i w:val="0"/>
                <w:sz w:val="20"/>
              </w:rPr>
              <w:t>IA &amp; ML</w:t>
            </w:r>
          </w:p>
        </w:tc>
        <w:tc>
          <w:tcPr>
            <w:tcW w:type="dxa" w:w="4536"/>
          </w:tcPr>
          <w:p>
            <w:pPr>
              <w:jc w:val="left"/>
            </w:pPr>
            <w:r>
              <w:rPr>
                <w:rFonts w:ascii="Garamond" w:hAnsi="Garamond"/>
                <w:b w:val="0"/>
                <w:i w:val="0"/>
                <w:sz w:val="20"/>
              </w:rPr>
              <w:t>Groq (Llama 3.3 70B / 3.1 8B) · scikit-learn (Random Forest)</w:t>
            </w:r>
          </w:p>
        </w:tc>
      </w:tr>
      <w:tr>
        <w:tc>
          <w:tcPr>
            <w:tcW w:type="dxa" w:w="4536"/>
            <w:shd w:val="clear" w:fill="E8F3FA"/>
          </w:tcPr>
          <w:p>
            <w:pPr>
              <w:jc w:val="left"/>
            </w:pPr>
            <w:r>
              <w:rPr>
                <w:rFonts w:ascii="Garamond" w:hAnsi="Garamond"/>
                <w:b/>
                <w:i w:val="0"/>
                <w:sz w:val="20"/>
              </w:rPr>
              <w:t>Notifications</w:t>
            </w:r>
          </w:p>
        </w:tc>
        <w:tc>
          <w:tcPr>
            <w:tcW w:type="dxa" w:w="4536"/>
            <w:shd w:val="clear" w:fill="E8F3FA"/>
          </w:tcPr>
          <w:p>
            <w:pPr>
              <w:jc w:val="left"/>
            </w:pPr>
            <w:r>
              <w:rPr>
                <w:rFonts w:ascii="Garamond" w:hAnsi="Garamond"/>
                <w:b w:val="0"/>
                <w:i w:val="0"/>
                <w:sz w:val="20"/>
              </w:rPr>
              <w:t>Brevo (email transactionnel)</w:t>
            </w:r>
          </w:p>
        </w:tc>
      </w:tr>
      <w:tr>
        <w:tc>
          <w:tcPr>
            <w:tcW w:type="dxa" w:w="4536"/>
          </w:tcPr>
          <w:p>
            <w:pPr>
              <w:jc w:val="left"/>
            </w:pPr>
            <w:r>
              <w:rPr>
                <w:rFonts w:ascii="Garamond" w:hAnsi="Garamond"/>
                <w:b/>
                <w:i w:val="0"/>
                <w:sz w:val="20"/>
              </w:rPr>
              <w:t>Exports</w:t>
            </w:r>
          </w:p>
        </w:tc>
        <w:tc>
          <w:tcPr>
            <w:tcW w:type="dxa" w:w="4536"/>
          </w:tcPr>
          <w:p>
            <w:pPr>
              <w:jc w:val="left"/>
            </w:pPr>
            <w:r>
              <w:rPr>
                <w:rFonts w:ascii="Garamond" w:hAnsi="Garamond"/>
                <w:b w:val="0"/>
                <w:i w:val="0"/>
                <w:sz w:val="20"/>
              </w:rPr>
              <w:t>jsPDF (+ EB Garamond embarquée) · bibliothèque docx (gabarit patché) · ExcelJS · SheetJS · PapaParse</w:t>
            </w:r>
          </w:p>
        </w:tc>
      </w:tr>
      <w:tr>
        <w:tc>
          <w:tcPr>
            <w:tcW w:type="dxa" w:w="4536"/>
            <w:shd w:val="clear" w:fill="E8F3FA"/>
          </w:tcPr>
          <w:p>
            <w:pPr>
              <w:jc w:val="left"/>
            </w:pPr>
            <w:r>
              <w:rPr>
                <w:rFonts w:ascii="Garamond" w:hAnsi="Garamond"/>
                <w:b/>
                <w:i w:val="0"/>
                <w:sz w:val="20"/>
              </w:rPr>
              <w:t>Qualité</w:t>
            </w:r>
          </w:p>
        </w:tc>
        <w:tc>
          <w:tcPr>
            <w:tcW w:type="dxa" w:w="4536"/>
            <w:shd w:val="clear" w:fill="E8F3FA"/>
          </w:tcPr>
          <w:p>
            <w:pPr>
              <w:jc w:val="left"/>
            </w:pPr>
            <w:r>
              <w:rPr>
                <w:rFonts w:ascii="Garamond" w:hAnsi="Garamond"/>
                <w:b w:val="0"/>
                <w:i w:val="0"/>
                <w:sz w:val="20"/>
              </w:rPr>
              <w:t>Vitest (44 tests) · ESLint 10</w:t>
            </w:r>
          </w:p>
        </w:tc>
      </w:tr>
    </w:tbl>
    <w:p>
      <w:pPr>
        <w:spacing w:after="120" w:line="276" w:lineRule="auto"/>
        <w:jc w:val="both"/>
      </w:pPr>
      <w:r>
        <w:rPr>
          <w:rFonts w:ascii="Garamond" w:hAnsi="Garamond"/>
          <w:b w:val="0"/>
          <w:i w:val="0"/>
          <w:sz w:val="24"/>
        </w:rPr>
      </w:r>
    </w:p>
    <w:p>
      <w:pPr>
        <w:pStyle w:val="Titre2"/>
        <w:spacing w:before="280" w:after="160"/>
      </w:pPr>
      <w:r>
        <w:rPr>
          <w:rFonts w:ascii="Garamond" w:hAnsi="Garamond"/>
        </w:rPr>
        <w:t>Annexe 2 — Gabarit documentaire</w:t>
      </w:r>
    </w:p>
    <w:p>
      <w:pPr>
        <w:spacing w:after="40" w:line="276" w:lineRule="auto"/>
        <w:jc w:val="both"/>
      </w:pPr>
      <w:r>
        <w:rPr>
          <w:rFonts w:ascii="Garamond" w:hAnsi="Garamond"/>
          <w:b w:val="0"/>
          <w:i w:val="0"/>
          <w:sz w:val="24"/>
        </w:rPr>
        <w:t>Les rapports générés par l'application et les présents livrables partagent la même charte, dérivée du document officiel de la Direction : page de garde institutionnelle, sommaire actualisable, corps Garamond 12 points justifié (interligne 1,15), titres hiérarchisés bleu océan/lagune, tableaux à en-tête bleu et lignes alternées, pagination en pied de page hors couverture, référence DEESP-RF-01.</w:t>
      </w:r>
    </w:p>
    <w:p>
      <w:pPr>
        <w:spacing w:after="160" w:line="276" w:lineRule="auto"/>
        <w:jc w:val="center"/>
      </w:pPr>
      <w:r>
        <w:rPr>
          <w:rFonts w:ascii="Garamond" w:hAnsi="Garamond"/>
          <w:b w:val="0"/>
          <w:i/>
          <w:color w:val="595959"/>
          <w:sz w:val="20"/>
        </w:rPr>
        <w:t>FlowPort — Port Autonome d'Abidjan · rapport technique de référence · 05/07/2026</w:t>
      </w:r>
    </w:p>
    <w:sectPr w:rsidR="00115918">
      <w:footerReference w:type="default" r:id="rId100"/>
      <w:footerReference w:type="first" r:id="rId27"/>
      <w:pgSz w:w="11906" w:h="16838"/>
      <w:pgMar w:top="1417" w:right="1417" w:bottom="1417" w:left="1417" w:header="708" w:footer="708" w:gutter="0"/>
      <w:pgBorders w:offsetFrom="page">
        <w:top w:val="double" w:sz="18" w:space="24" w:color="0E4C74"/>
        <w:left w:val="double" w:sz="18" w:space="24" w:color="0E4C74"/>
        <w:bottom w:val="double" w:sz="18" w:space="24" w:color="0E4C74"/>
        <w:right w:val="double" w:sz="18" w:space="24" w:color="0E4C74"/>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A8368" w14:textId="77777777" w:rsidR="00B750A1" w:rsidRDefault="00B750A1">
      <w:pPr>
        <w:spacing w:after="0" w:line="240" w:lineRule="auto"/>
      </w:pPr>
      <w:r>
        <w:separator/>
      </w:r>
    </w:p>
  </w:endnote>
  <w:endnote w:type="continuationSeparator" w:id="0">
    <w:p w14:paraId="55F24460" w14:textId="77777777" w:rsidR="00B750A1" w:rsidRDefault="00B750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ple-system-font">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2E362" w14:textId="77777777" w:rsidR="00000000" w:rsidRDefault="00000000">
    <w:pPr>
      <w:pStyle w:val="Pieddepage"/>
    </w:pPr>
    <w:r>
      <w:rPr>
        <w:rFonts w:ascii="Arial" w:eastAsia="Arial" w:hAnsi="Arial" w:cs="Arial"/>
        <w:b/>
        <w:bCs/>
        <w:noProof/>
        <w:color w:val="075FA7"/>
        <w:sz w:val="15"/>
        <w:szCs w:val="15"/>
        <w:lang w:val="fr-FR" w:eastAsia="fr-FR"/>
      </w:rPr>
      <mc:AlternateContent>
        <mc:Choice Requires="wps">
          <w:drawing>
            <wp:anchor distT="0" distB="0" distL="114300" distR="114300" simplePos="0" relativeHeight="251659264" behindDoc="0" locked="0" layoutInCell="1" allowOverlap="1" wp14:anchorId="1A1C26D9" wp14:editId="450AFFCA">
              <wp:simplePos x="0" y="0"/>
              <wp:positionH relativeFrom="margin">
                <wp:posOffset>-251460</wp:posOffset>
              </wp:positionH>
              <wp:positionV relativeFrom="paragraph">
                <wp:posOffset>-259076</wp:posOffset>
              </wp:positionV>
              <wp:extent cx="6457949" cy="512448"/>
              <wp:effectExtent l="0" t="0" r="0" b="1902"/>
              <wp:wrapNone/>
              <wp:docPr id="51518553" name="Zone de texte 190377056"/>
              <wp:cNvGraphicFramePr/>
              <a:graphic xmlns:a="http://schemas.openxmlformats.org/drawingml/2006/main">
                <a:graphicData uri="http://schemas.microsoft.com/office/word/2010/wordprocessingShape">
                  <wps:wsp>
                    <wps:cNvSpPr txBox="1"/>
                    <wps:spPr>
                      <a:xfrm>
                        <a:off x="0" y="0"/>
                        <a:ext cx="6457949" cy="512448"/>
                      </a:xfrm>
                      <a:prstGeom prst="rect">
                        <a:avLst/>
                      </a:prstGeom>
                      <a:noFill/>
                      <a:ln>
                        <a:noFill/>
                        <a:prstDash/>
                      </a:ln>
                    </wps:spPr>
                    <wps:txbx>
                      <w:txbxContent>
                        <w:p w14:paraId="209816CC" w14:textId="77777777" w:rsidR="00000000" w:rsidRDefault="00000000">
                          <w:pPr>
                            <w:jc w:val="center"/>
                          </w:pPr>
                          <w:r>
                            <w:rPr>
                              <w:rFonts w:ascii="-apple-system-font" w:hAnsi="-apple-system-font"/>
                              <w:b/>
                              <w:bCs/>
                              <w:color w:val="0F4791"/>
                              <w:sz w:val="13"/>
                              <w:szCs w:val="17"/>
                            </w:rPr>
                            <w:t>Port Autonome d'Abidjan, Société d'État</w:t>
                          </w:r>
                          <w:r>
                            <w:rPr>
                              <w:rFonts w:ascii="-apple-system-font" w:hAnsi="-apple-system-font"/>
                              <w:color w:val="0F4791"/>
                              <w:sz w:val="13"/>
                              <w:szCs w:val="17"/>
                            </w:rPr>
                            <w:t xml:space="preserve"> au capital de </w:t>
                          </w:r>
                          <w:r>
                            <w:rPr>
                              <w:rFonts w:ascii="-apple-system-font" w:hAnsi="-apple-system-font"/>
                              <w:b/>
                              <w:bCs/>
                              <w:color w:val="0F4791"/>
                              <w:sz w:val="13"/>
                              <w:szCs w:val="17"/>
                            </w:rPr>
                            <w:t>100.000.000.000 F CFA</w:t>
                          </w:r>
                          <w:r>
                            <w:rPr>
                              <w:rFonts w:ascii="-apple-system-font" w:hAnsi="-apple-system-font"/>
                              <w:color w:val="0F4791"/>
                              <w:sz w:val="13"/>
                              <w:szCs w:val="17"/>
                            </w:rPr>
                            <w:t xml:space="preserve">, </w:t>
                          </w:r>
                          <w:r>
                            <w:rPr>
                              <w:rFonts w:ascii="-apple-system-font" w:hAnsi="-apple-system-font"/>
                              <w:b/>
                              <w:bCs/>
                              <w:color w:val="0F4791"/>
                              <w:sz w:val="13"/>
                              <w:szCs w:val="17"/>
                            </w:rPr>
                            <w:t>régie par la loi n°2020-626 du 14 Août 2020</w:t>
                          </w:r>
                          <w:r>
                            <w:rPr>
                              <w:rFonts w:ascii="-apple-system-font" w:hAnsi="-apple-system-font"/>
                              <w:color w:val="0F4791"/>
                              <w:sz w:val="13"/>
                              <w:szCs w:val="17"/>
                            </w:rPr>
                            <w:t xml:space="preserve"> portant définition et organisation des Sociétés d'État et par le </w:t>
                          </w:r>
                          <w:r>
                            <w:rPr>
                              <w:rFonts w:ascii="-apple-system-font" w:hAnsi="-apple-system-font"/>
                              <w:b/>
                              <w:bCs/>
                              <w:color w:val="0F4791"/>
                              <w:sz w:val="13"/>
                              <w:szCs w:val="17"/>
                            </w:rPr>
                            <w:t>décret n° 092-940</w:t>
                          </w:r>
                          <w:r>
                            <w:rPr>
                              <w:rFonts w:ascii="-apple-system-font" w:hAnsi="-apple-system-font"/>
                              <w:color w:val="0F4791"/>
                              <w:sz w:val="13"/>
                              <w:szCs w:val="17"/>
                            </w:rPr>
                            <w:t xml:space="preserve"> du 23 décembre 1992 portant transformation du Port Autonome d'Abidjan (P.A.A) en Société d'État, dont le siège social est sis à                              Abidjan-Treichville, Rue A22 des Piroguiers, Boulevard du Port, adresse : BP V85 Abidjan et immatriculée au RCCM sous le numéro</w:t>
                          </w:r>
                          <w:r>
                            <w:rPr>
                              <w:rFonts w:ascii="-apple-system-font" w:hAnsi="-apple-system-font"/>
                              <w:b/>
                              <w:bCs/>
                              <w:color w:val="0F4791"/>
                              <w:sz w:val="13"/>
                              <w:szCs w:val="17"/>
                            </w:rPr>
                            <w:t xml:space="preserve"> CI-ABJ-03-2021-M-00928</w:t>
                          </w:r>
                          <w:r>
                            <w:rPr>
                              <w:rFonts w:ascii="-apple-system-font" w:hAnsi="-apple-system-font"/>
                              <w:color w:val="0F4791"/>
                              <w:sz w:val="13"/>
                              <w:szCs w:val="17"/>
                            </w:rPr>
                            <w:t xml:space="preserve">,                                                    </w:t>
                          </w:r>
                          <w:r>
                            <w:rPr>
                              <w:rFonts w:ascii="-apple-system-font" w:hAnsi="-apple-system-font"/>
                              <w:b/>
                              <w:bCs/>
                              <w:color w:val="0F4791"/>
                              <w:sz w:val="13"/>
                              <w:szCs w:val="17"/>
                            </w:rPr>
                            <w:t>Tél : 27-21-23-80-00, Téléfax : 27-21-23-80-80, Web : www.portabidjan.ci</w:t>
                          </w:r>
                        </w:p>
                        <w:p w14:paraId="05AF5EDD" w14:textId="77777777" w:rsidR="00000000" w:rsidRDefault="00000000">
                          <w:pPr>
                            <w:jc w:val="center"/>
                            <w:rPr>
                              <w:color w:val="0F4791"/>
                              <w:sz w:val="17"/>
                              <w:szCs w:val="17"/>
                            </w:rPr>
                          </w:pPr>
                        </w:p>
                      </w:txbxContent>
                    </wps:txbx>
                    <wps:bodyPr vert="horz" wrap="square" lIns="91440" tIns="45720" rIns="91440" bIns="45720" anchor="t" anchorCtr="0" compatLnSpc="1">
                      <a:noAutofit/>
                    </wps:bodyPr>
                  </wps:wsp>
                </a:graphicData>
              </a:graphic>
            </wp:anchor>
          </w:drawing>
        </mc:Choice>
        <mc:Fallback>
          <w:pict>
            <v:shapetype w14:anchorId="1A1C26D9" id="_x0000_t202" coordsize="21600,21600" o:spt="202" path="m,l,21600r21600,l21600,xe">
              <v:stroke joinstyle="miter"/>
              <v:path gradientshapeok="t" o:connecttype="rect"/>
            </v:shapetype>
            <v:shape id="Zone de texte 190377056" o:spid="_x0000_s1029" type="#_x0000_t202" style="position:absolute;margin-left:-19.8pt;margin-top:-20.4pt;width:508.5pt;height:40.3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VpdugEAAGwDAAAOAAAAZHJzL2Uyb0RvYy54bWysU9tuGyEQfa/Uf0C819jWJo1XXkdtrFSV&#10;ojaS0w/ALHiRgCGAvet+fQfWsa30reoLOzeGc87MLu8Ha8hBhqjBNXQ2mVIinYBWu11Df708frqj&#10;JCbuWm7AyYYeZaT3q48flr2v5Rw6MK0MBJu4WPe+oV1KvmYsik5aHifgpcOkgmB5QjfsWBt4j92t&#10;YfPp9Jb1EFofQMgYMboek3RV+islRfqpVJSJmIYitlTOUM5tPtlqyetd4L7T4gSD/wMKy7XDR8+t&#10;1jxxsg/6r1ZWiwARVJoIsAyU0kIWDshmNn3HZtNxLwsXFCf6s0zx/7UVPw4b/xxIGr7CgAPMgvQ+&#10;1hGDmc+ggs1fREowjxIez7LJIRGBwdvq5vOiWlAiMHczm1fVXW7DLrd9iOmbBEuy0dCAYylq8cNT&#10;TGPpW0l+zMGjNqaMxrh3gVy35rEbb+U0u+DNVhq2AyazuYX2iNxwPfHRDsJvSnocdUPj654HSYn5&#10;7lDLxayq8m4UB7nM0QnXme11hjuBrRqaKBnNhzTuEw7U8/TkNl5kIUfcX/YJlC4cL4hOmHGkRaXT&#10;+uWdufZL1eUnWf0BAAD//wMAUEsDBBQABgAIAAAAIQBSkSXY3gAAAAoBAAAPAAAAZHJzL2Rvd25y&#10;ZXYueG1sTI/BTsMwDIbvSLxDZCRuWwIr21KaTgjEFbQBk7hljddWNE7VZGt5e8wJbrb86ff3F5vJ&#10;d+KMQ2wDGbiZKxBIVXAt1Qbe355naxAxWXK2C4QGvjHCpry8KGzuwkhbPO9SLTiEYm4NNCn1uZSx&#10;atDbOA89Et+OYfA28TrU0g125HDfyVulltLblvhDY3t8bLD62p28gY+X4+c+U6/1k7/rxzApSV5L&#10;Y66vpod7EAmn9AfDrz6rQ8lOh3AiF0VnYLbQS0Z5yBR3YEKvVhmIg4GF1iDLQv6vUP4AAAD//wMA&#10;UEsBAi0AFAAGAAgAAAAhALaDOJL+AAAA4QEAABMAAAAAAAAAAAAAAAAAAAAAAFtDb250ZW50X1R5&#10;cGVzXS54bWxQSwECLQAUAAYACAAAACEAOP0h/9YAAACUAQAACwAAAAAAAAAAAAAAAAAvAQAAX3Jl&#10;bHMvLnJlbHNQSwECLQAUAAYACAAAACEAIjlaXboBAABsAwAADgAAAAAAAAAAAAAAAAAuAgAAZHJz&#10;L2Uyb0RvYy54bWxQSwECLQAUAAYACAAAACEAUpEl2N4AAAAKAQAADwAAAAAAAAAAAAAAAAAUBAAA&#10;ZHJzL2Rvd25yZXYueG1sUEsFBgAAAAAEAAQA8wAAAB8FAAAAAA==&#10;" filled="f" stroked="f">
              <v:textbox>
                <w:txbxContent>
                  <w:p w14:paraId="209816CC" w14:textId="77777777" w:rsidR="00000000" w:rsidRDefault="00000000">
                    <w:pPr>
                      <w:jc w:val="center"/>
                    </w:pPr>
                    <w:r>
                      <w:rPr>
                        <w:rFonts w:ascii="-apple-system-font" w:hAnsi="-apple-system-font"/>
                        <w:b/>
                        <w:bCs/>
                        <w:color w:val="0F4791"/>
                        <w:sz w:val="13"/>
                        <w:szCs w:val="17"/>
                      </w:rPr>
                      <w:t>Port Autonome d'Abidjan, Société d'État</w:t>
                    </w:r>
                    <w:r>
                      <w:rPr>
                        <w:rFonts w:ascii="-apple-system-font" w:hAnsi="-apple-system-font"/>
                        <w:color w:val="0F4791"/>
                        <w:sz w:val="13"/>
                        <w:szCs w:val="17"/>
                      </w:rPr>
                      <w:t xml:space="preserve"> au capital de </w:t>
                    </w:r>
                    <w:r>
                      <w:rPr>
                        <w:rFonts w:ascii="-apple-system-font" w:hAnsi="-apple-system-font"/>
                        <w:b/>
                        <w:bCs/>
                        <w:color w:val="0F4791"/>
                        <w:sz w:val="13"/>
                        <w:szCs w:val="17"/>
                      </w:rPr>
                      <w:t>100.000.000.000 F CFA</w:t>
                    </w:r>
                    <w:r>
                      <w:rPr>
                        <w:rFonts w:ascii="-apple-system-font" w:hAnsi="-apple-system-font"/>
                        <w:color w:val="0F4791"/>
                        <w:sz w:val="13"/>
                        <w:szCs w:val="17"/>
                      </w:rPr>
                      <w:t xml:space="preserve">, </w:t>
                    </w:r>
                    <w:r>
                      <w:rPr>
                        <w:rFonts w:ascii="-apple-system-font" w:hAnsi="-apple-system-font"/>
                        <w:b/>
                        <w:bCs/>
                        <w:color w:val="0F4791"/>
                        <w:sz w:val="13"/>
                        <w:szCs w:val="17"/>
                      </w:rPr>
                      <w:t>régie par la loi n°2020-626 du 14 Août 2020</w:t>
                    </w:r>
                    <w:r>
                      <w:rPr>
                        <w:rFonts w:ascii="-apple-system-font" w:hAnsi="-apple-system-font"/>
                        <w:color w:val="0F4791"/>
                        <w:sz w:val="13"/>
                        <w:szCs w:val="17"/>
                      </w:rPr>
                      <w:t xml:space="preserve"> portant définition et organisation des Sociétés d'État et par le </w:t>
                    </w:r>
                    <w:r>
                      <w:rPr>
                        <w:rFonts w:ascii="-apple-system-font" w:hAnsi="-apple-system-font"/>
                        <w:b/>
                        <w:bCs/>
                        <w:color w:val="0F4791"/>
                        <w:sz w:val="13"/>
                        <w:szCs w:val="17"/>
                      </w:rPr>
                      <w:t>décret n° 092-940</w:t>
                    </w:r>
                    <w:r>
                      <w:rPr>
                        <w:rFonts w:ascii="-apple-system-font" w:hAnsi="-apple-system-font"/>
                        <w:color w:val="0F4791"/>
                        <w:sz w:val="13"/>
                        <w:szCs w:val="17"/>
                      </w:rPr>
                      <w:t xml:space="preserve"> du 23 décembre 1992 portant transformation du Port Autonome d'Abidjan (P.A.A) en Société d'État, dont le siège social est sis à                              Abidjan-Treichville, Rue A22 des Piroguiers, Boulevard du Port, adresse : BP V85 Abidjan et immatriculée au RCCM sous le numéro</w:t>
                    </w:r>
                    <w:r>
                      <w:rPr>
                        <w:rFonts w:ascii="-apple-system-font" w:hAnsi="-apple-system-font"/>
                        <w:b/>
                        <w:bCs/>
                        <w:color w:val="0F4791"/>
                        <w:sz w:val="13"/>
                        <w:szCs w:val="17"/>
                      </w:rPr>
                      <w:t xml:space="preserve"> CI-ABJ-03-2021-M-00928</w:t>
                    </w:r>
                    <w:r>
                      <w:rPr>
                        <w:rFonts w:ascii="-apple-system-font" w:hAnsi="-apple-system-font"/>
                        <w:color w:val="0F4791"/>
                        <w:sz w:val="13"/>
                        <w:szCs w:val="17"/>
                      </w:rPr>
                      <w:t xml:space="preserve">,                                                    </w:t>
                    </w:r>
                    <w:r>
                      <w:rPr>
                        <w:rFonts w:ascii="-apple-system-font" w:hAnsi="-apple-system-font"/>
                        <w:b/>
                        <w:bCs/>
                        <w:color w:val="0F4791"/>
                        <w:sz w:val="13"/>
                        <w:szCs w:val="17"/>
                      </w:rPr>
                      <w:t>Tél : 27-21-23-80-00, Téléfax : 27-21-23-80-80, Web : www.portabidjan.ci</w:t>
                    </w:r>
                  </w:p>
                  <w:p w14:paraId="05AF5EDD" w14:textId="77777777" w:rsidR="00000000" w:rsidRDefault="00000000">
                    <w:pPr>
                      <w:jc w:val="center"/>
                      <w:rPr>
                        <w:color w:val="0F4791"/>
                        <w:sz w:val="17"/>
                        <w:szCs w:val="17"/>
                      </w:rPr>
                    </w:pP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2E362" w14:textId="77777777" w:rsidR="00000000" w:rsidRDefault="00000000">
    <w:pPr>
      <w:pStyle w:val="Pieddepage"/>
    </w:pPr>
    <w:r>
      <w:rPr>
        <w:rFonts w:ascii="Arial" w:eastAsia="Arial" w:hAnsi="Arial" w:cs="Arial"/>
        <w:b/>
        <w:bCs/>
        <w:noProof/>
        <w:color w:val="075FA7"/>
        <w:sz w:val="15"/>
        <w:szCs w:val="15"/>
        <w:lang w:val="fr-FR" w:eastAsia="fr-FR"/>
      </w:rPr>
      <mc:AlternateContent>
        <mc:Choice Requires="wps">
          <w:drawing>
            <wp:anchor distT="0" distB="0" distL="114300" distR="114300" simplePos="0" relativeHeight="251659264" behindDoc="0" locked="0" layoutInCell="1" allowOverlap="1" wp14:anchorId="1A1C26D9" wp14:editId="450AFFCA">
              <wp:simplePos x="0" y="0"/>
              <wp:positionH relativeFrom="margin">
                <wp:posOffset>-251460</wp:posOffset>
              </wp:positionH>
              <wp:positionV relativeFrom="paragraph">
                <wp:posOffset>-259076</wp:posOffset>
              </wp:positionV>
              <wp:extent cx="6457949" cy="512448"/>
              <wp:effectExtent l="0" t="0" r="0" b="1902"/>
              <wp:wrapNone/>
              <wp:docPr id="51518553" name="Zone de texte 190377056"/>
              <wp:cNvGraphicFramePr/>
              <a:graphic xmlns:a="http://schemas.openxmlformats.org/drawingml/2006/main">
                <a:graphicData uri="http://schemas.microsoft.com/office/word/2010/wordprocessingShape">
                  <wps:wsp>
                    <wps:cNvSpPr txBox="1"/>
                    <wps:spPr>
                      <a:xfrm>
                        <a:off x="0" y="0"/>
                        <a:ext cx="6457949" cy="512448"/>
                      </a:xfrm>
                      <a:prstGeom prst="rect">
                        <a:avLst/>
                      </a:prstGeom>
                      <a:noFill/>
                      <a:ln>
                        <a:noFill/>
                        <a:prstDash/>
                      </a:ln>
                    </wps:spPr>
                    <wps:txbx>
                      <w:txbxContent>
                        <w:p w14:paraId="209816CC" w14:textId="77777777" w:rsidR="00000000" w:rsidRDefault="00000000">
                          <w:pPr>
                            <w:jc w:val="center"/>
                          </w:pPr>
                          <w:r>
                            <w:rPr>
                              <w:rFonts w:ascii="-apple-system-font" w:hAnsi="-apple-system-font"/>
                              <w:b/>
                              <w:bCs/>
                              <w:color w:val="0F4791"/>
                              <w:sz w:val="13"/>
                              <w:szCs w:val="17"/>
                            </w:rPr>
                            <w:t>Port Autonome d'Abidjan, Société d'État</w:t>
                          </w:r>
                          <w:r>
                            <w:rPr>
                              <w:rFonts w:ascii="-apple-system-font" w:hAnsi="-apple-system-font"/>
                              <w:color w:val="0F4791"/>
                              <w:sz w:val="13"/>
                              <w:szCs w:val="17"/>
                            </w:rPr>
                            <w:t xml:space="preserve"> au capital de </w:t>
                          </w:r>
                          <w:r>
                            <w:rPr>
                              <w:rFonts w:ascii="-apple-system-font" w:hAnsi="-apple-system-font"/>
                              <w:b/>
                              <w:bCs/>
                              <w:color w:val="0F4791"/>
                              <w:sz w:val="13"/>
                              <w:szCs w:val="17"/>
                            </w:rPr>
                            <w:t>100.000.000.000 F CFA</w:t>
                          </w:r>
                          <w:r>
                            <w:rPr>
                              <w:rFonts w:ascii="-apple-system-font" w:hAnsi="-apple-system-font"/>
                              <w:color w:val="0F4791"/>
                              <w:sz w:val="13"/>
                              <w:szCs w:val="17"/>
                            </w:rPr>
                            <w:t xml:space="preserve">, </w:t>
                          </w:r>
                          <w:r>
                            <w:rPr>
                              <w:rFonts w:ascii="-apple-system-font" w:hAnsi="-apple-system-font"/>
                              <w:b/>
                              <w:bCs/>
                              <w:color w:val="0F4791"/>
                              <w:sz w:val="13"/>
                              <w:szCs w:val="17"/>
                            </w:rPr>
                            <w:t>régie par la loi n°2020-626 du 14 Août 2020</w:t>
                          </w:r>
                          <w:r>
                            <w:rPr>
                              <w:rFonts w:ascii="-apple-system-font" w:hAnsi="-apple-system-font"/>
                              <w:color w:val="0F4791"/>
                              <w:sz w:val="13"/>
                              <w:szCs w:val="17"/>
                            </w:rPr>
                            <w:t xml:space="preserve"> portant définition et organisation des Sociétés d'État et par le </w:t>
                          </w:r>
                          <w:r>
                            <w:rPr>
                              <w:rFonts w:ascii="-apple-system-font" w:hAnsi="-apple-system-font"/>
                              <w:b/>
                              <w:bCs/>
                              <w:color w:val="0F4791"/>
                              <w:sz w:val="13"/>
                              <w:szCs w:val="17"/>
                            </w:rPr>
                            <w:t>décret n° 092-940</w:t>
                          </w:r>
                          <w:r>
                            <w:rPr>
                              <w:rFonts w:ascii="-apple-system-font" w:hAnsi="-apple-system-font"/>
                              <w:color w:val="0F4791"/>
                              <w:sz w:val="13"/>
                              <w:szCs w:val="17"/>
                            </w:rPr>
                            <w:t xml:space="preserve"> du 23 décembre 1992 portant transformation du Port Autonome d'Abidjan (P.A.A) en Société d'État, dont le siège social est sis à                              Abidjan-Treichville, Rue A22 des Piroguiers, Boulevard du Port, adresse : BP V85 Abidjan et immatriculée au RCCM sous le numéro</w:t>
                          </w:r>
                          <w:r>
                            <w:rPr>
                              <w:rFonts w:ascii="-apple-system-font" w:hAnsi="-apple-system-font"/>
                              <w:b/>
                              <w:bCs/>
                              <w:color w:val="0F4791"/>
                              <w:sz w:val="13"/>
                              <w:szCs w:val="17"/>
                            </w:rPr>
                            <w:t xml:space="preserve"> CI-ABJ-03-2021-M-00928</w:t>
                          </w:r>
                          <w:r>
                            <w:rPr>
                              <w:rFonts w:ascii="-apple-system-font" w:hAnsi="-apple-system-font"/>
                              <w:color w:val="0F4791"/>
                              <w:sz w:val="13"/>
                              <w:szCs w:val="17"/>
                            </w:rPr>
                            <w:t xml:space="preserve">,                                                    </w:t>
                          </w:r>
                          <w:r>
                            <w:rPr>
                              <w:rFonts w:ascii="-apple-system-font" w:hAnsi="-apple-system-font"/>
                              <w:b/>
                              <w:bCs/>
                              <w:color w:val="0F4791"/>
                              <w:sz w:val="13"/>
                              <w:szCs w:val="17"/>
                            </w:rPr>
                            <w:t>Tél : 27-21-23-80-00, Téléfax : 27-21-23-80-80, Web : www.portabidjan.ci</w:t>
                          </w:r>
                        </w:p>
                        <w:p w14:paraId="05AF5EDD" w14:textId="77777777" w:rsidR="00000000" w:rsidRDefault="00000000">
                          <w:pPr>
                            <w:jc w:val="center"/>
                            <w:rPr>
                              <w:color w:val="0F4791"/>
                              <w:sz w:val="17"/>
                              <w:szCs w:val="17"/>
                            </w:rPr>
                          </w:pPr>
                        </w:p>
                      </w:txbxContent>
                    </wps:txbx>
                    <wps:bodyPr vert="horz" wrap="square" lIns="91440" tIns="45720" rIns="91440" bIns="45720" anchor="t" anchorCtr="0" compatLnSpc="1">
                      <a:noAutofit/>
                    </wps:bodyPr>
                  </wps:wsp>
                </a:graphicData>
              </a:graphic>
            </wp:anchor>
          </w:drawing>
        </mc:Choice>
        <mc:Fallback>
          <w:pict>
            <v:shapetype w14:anchorId="1A1C26D9" id="_x0000_t202" coordsize="21600,21600" o:spt="202" path="m,l,21600r21600,l21600,xe">
              <v:stroke joinstyle="miter"/>
              <v:path gradientshapeok="t" o:connecttype="rect"/>
            </v:shapetype>
            <v:shape id="Zone de texte 190377056" o:spid="_x0000_s1029" type="#_x0000_t202" style="position:absolute;margin-left:-19.8pt;margin-top:-20.4pt;width:508.5pt;height:40.3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VpdugEAAGwDAAAOAAAAZHJzL2Uyb0RvYy54bWysU9tuGyEQfa/Uf0C819jWJo1XXkdtrFSV&#10;ojaS0w/ALHiRgCGAvet+fQfWsa30reoLOzeGc87MLu8Ha8hBhqjBNXQ2mVIinYBWu11Df708frqj&#10;JCbuWm7AyYYeZaT3q48flr2v5Rw6MK0MBJu4WPe+oV1KvmYsik5aHifgpcOkgmB5QjfsWBt4j92t&#10;YfPp9Jb1EFofQMgYMboek3RV+islRfqpVJSJmIYitlTOUM5tPtlqyetd4L7T4gSD/wMKy7XDR8+t&#10;1jxxsg/6r1ZWiwARVJoIsAyU0kIWDshmNn3HZtNxLwsXFCf6s0zx/7UVPw4b/xxIGr7CgAPMgvQ+&#10;1hGDmc+ggs1fREowjxIez7LJIRGBwdvq5vOiWlAiMHczm1fVXW7DLrd9iOmbBEuy0dCAYylq8cNT&#10;TGPpW0l+zMGjNqaMxrh3gVy35rEbb+U0u+DNVhq2AyazuYX2iNxwPfHRDsJvSnocdUPj654HSYn5&#10;7lDLxayq8m4UB7nM0QnXme11hjuBrRqaKBnNhzTuEw7U8/TkNl5kIUfcX/YJlC4cL4hOmHGkRaXT&#10;+uWdufZL1eUnWf0BAAD//wMAUEsDBBQABgAIAAAAIQBSkSXY3gAAAAoBAAAPAAAAZHJzL2Rvd25y&#10;ZXYueG1sTI/BTsMwDIbvSLxDZCRuWwIr21KaTgjEFbQBk7hljddWNE7VZGt5e8wJbrb86ff3F5vJ&#10;d+KMQ2wDGbiZKxBIVXAt1Qbe355naxAxWXK2C4QGvjHCpry8KGzuwkhbPO9SLTiEYm4NNCn1uZSx&#10;atDbOA89Et+OYfA28TrU0g125HDfyVulltLblvhDY3t8bLD62p28gY+X4+c+U6/1k7/rxzApSV5L&#10;Y66vpod7EAmn9AfDrz6rQ8lOh3AiF0VnYLbQS0Z5yBR3YEKvVhmIg4GF1iDLQv6vUP4AAAD//wMA&#10;UEsBAi0AFAAGAAgAAAAhALaDOJL+AAAA4QEAABMAAAAAAAAAAAAAAAAAAAAAAFtDb250ZW50X1R5&#10;cGVzXS54bWxQSwECLQAUAAYACAAAACEAOP0h/9YAAACUAQAACwAAAAAAAAAAAAAAAAAvAQAAX3Jl&#10;bHMvLnJlbHNQSwECLQAUAAYACAAAACEAIjlaXboBAABsAwAADgAAAAAAAAAAAAAAAAAuAgAAZHJz&#10;L2Uyb0RvYy54bWxQSwECLQAUAAYACAAAACEAUpEl2N4AAAAKAQAADwAAAAAAAAAAAAAAAAAUBAAA&#10;ZHJzL2Rvd25yZXYueG1sUEsFBgAAAAAEAAQA8wAAAB8FAAAAAA==&#10;" filled="f" stroked="f">
              <v:textbox>
                <w:txbxContent>
                  <w:p w14:paraId="209816CC" w14:textId="77777777" w:rsidR="00000000" w:rsidRDefault="00000000">
                    <w:pPr>
                      <w:jc w:val="center"/>
                    </w:pPr>
                    <w:r>
                      <w:rPr>
                        <w:rFonts w:ascii="-apple-system-font" w:hAnsi="-apple-system-font"/>
                        <w:b/>
                        <w:bCs/>
                        <w:color w:val="0F4791"/>
                        <w:sz w:val="13"/>
                        <w:szCs w:val="17"/>
                      </w:rPr>
                      <w:t>Port Autonome d'Abidjan, Société d'État</w:t>
                    </w:r>
                    <w:r>
                      <w:rPr>
                        <w:rFonts w:ascii="-apple-system-font" w:hAnsi="-apple-system-font"/>
                        <w:color w:val="0F4791"/>
                        <w:sz w:val="13"/>
                        <w:szCs w:val="17"/>
                      </w:rPr>
                      <w:t xml:space="preserve"> au capital de </w:t>
                    </w:r>
                    <w:r>
                      <w:rPr>
                        <w:rFonts w:ascii="-apple-system-font" w:hAnsi="-apple-system-font"/>
                        <w:b/>
                        <w:bCs/>
                        <w:color w:val="0F4791"/>
                        <w:sz w:val="13"/>
                        <w:szCs w:val="17"/>
                      </w:rPr>
                      <w:t>100.000.000.000 F CFA</w:t>
                    </w:r>
                    <w:r>
                      <w:rPr>
                        <w:rFonts w:ascii="-apple-system-font" w:hAnsi="-apple-system-font"/>
                        <w:color w:val="0F4791"/>
                        <w:sz w:val="13"/>
                        <w:szCs w:val="17"/>
                      </w:rPr>
                      <w:t xml:space="preserve">, </w:t>
                    </w:r>
                    <w:r>
                      <w:rPr>
                        <w:rFonts w:ascii="-apple-system-font" w:hAnsi="-apple-system-font"/>
                        <w:b/>
                        <w:bCs/>
                        <w:color w:val="0F4791"/>
                        <w:sz w:val="13"/>
                        <w:szCs w:val="17"/>
                      </w:rPr>
                      <w:t>régie par la loi n°2020-626 du 14 Août 2020</w:t>
                    </w:r>
                    <w:r>
                      <w:rPr>
                        <w:rFonts w:ascii="-apple-system-font" w:hAnsi="-apple-system-font"/>
                        <w:color w:val="0F4791"/>
                        <w:sz w:val="13"/>
                        <w:szCs w:val="17"/>
                      </w:rPr>
                      <w:t xml:space="preserve"> portant définition et organisation des Sociétés d'État et par le </w:t>
                    </w:r>
                    <w:r>
                      <w:rPr>
                        <w:rFonts w:ascii="-apple-system-font" w:hAnsi="-apple-system-font"/>
                        <w:b/>
                        <w:bCs/>
                        <w:color w:val="0F4791"/>
                        <w:sz w:val="13"/>
                        <w:szCs w:val="17"/>
                      </w:rPr>
                      <w:t>décret n° 092-940</w:t>
                    </w:r>
                    <w:r>
                      <w:rPr>
                        <w:rFonts w:ascii="-apple-system-font" w:hAnsi="-apple-system-font"/>
                        <w:color w:val="0F4791"/>
                        <w:sz w:val="13"/>
                        <w:szCs w:val="17"/>
                      </w:rPr>
                      <w:t xml:space="preserve"> du 23 décembre 1992 portant transformation du Port Autonome d'Abidjan (P.A.A) en Société d'État, dont le siège social est sis à                              Abidjan-Treichville, Rue A22 des Piroguiers, Boulevard du Port, adresse : BP V85 Abidjan et immatriculée au RCCM sous le numéro</w:t>
                    </w:r>
                    <w:r>
                      <w:rPr>
                        <w:rFonts w:ascii="-apple-system-font" w:hAnsi="-apple-system-font"/>
                        <w:b/>
                        <w:bCs/>
                        <w:color w:val="0F4791"/>
                        <w:sz w:val="13"/>
                        <w:szCs w:val="17"/>
                      </w:rPr>
                      <w:t xml:space="preserve"> CI-ABJ-03-2021-M-00928</w:t>
                    </w:r>
                    <w:r>
                      <w:rPr>
                        <w:rFonts w:ascii="-apple-system-font" w:hAnsi="-apple-system-font"/>
                        <w:color w:val="0F4791"/>
                        <w:sz w:val="13"/>
                        <w:szCs w:val="17"/>
                      </w:rPr>
                      <w:t xml:space="preserve">,                                                    </w:t>
                    </w:r>
                    <w:r>
                      <w:rPr>
                        <w:rFonts w:ascii="-apple-system-font" w:hAnsi="-apple-system-font"/>
                        <w:b/>
                        <w:bCs/>
                        <w:color w:val="0F4791"/>
                        <w:sz w:val="13"/>
                        <w:szCs w:val="17"/>
                      </w:rPr>
                      <w:t>Tél : 27-21-23-80-00, Téléfax : 27-21-23-80-80, Web : www.portabidjan.ci</w:t>
                    </w:r>
                  </w:p>
                  <w:p w14:paraId="05AF5EDD" w14:textId="77777777" w:rsidR="00000000" w:rsidRDefault="00000000">
                    <w:pPr>
                      <w:jc w:val="center"/>
                      <w:rPr>
                        <w:color w:val="0F4791"/>
                        <w:sz w:val="17"/>
                        <w:szCs w:val="17"/>
                      </w:rPr>
                    </w:pPr>
                  </w:p>
                </w:txbxContent>
              </v:textbox>
              <w10:wrap anchorx="margin"/>
            </v:shape>
          </w:pict>
        </mc:Fallback>
      </mc:AlternateContent>
    </w:r>
  </w:p>
  <w:p>
    <w:pPr>
      <w:jc w:val="center"/>
    </w:pPr>
    <w:r>
      <w:rPr>
        <w:rFonts w:ascii="Garamond" w:hAnsi="Garamond"/>
        <w:sz w:val="18"/>
        <w:color w:val="595959"/>
      </w:rPr>
      <w:t xml:space="preserve">Page </w:t>
    </w:r>
    <w:r>
      <w:rPr>
        <w:rFonts w:ascii="Garamond" w:hAnsi="Garamond"/>
        <w:sz w:val="18"/>
        <w:color w:val="595959"/>
      </w:rPr>
      <w:fldChar w:fldCharType="begin"/>
    </w:r>
    <w:r>
      <w:rPr>
        <w:rFonts w:ascii="Garamond" w:hAnsi="Garamond"/>
        <w:sz w:val="18"/>
        <w:color w:val="595959"/>
      </w:rPr>
      <w:instrText xml:space="preserve"> PAGE </w:instrText>
    </w:r>
    <w:r>
      <w:rPr>
        <w:rFonts w:ascii="Garamond" w:hAnsi="Garamond"/>
        <w:sz w:val="18"/>
        <w:color w:val="59595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3D356" w14:textId="77777777" w:rsidR="00B750A1" w:rsidRDefault="00B750A1">
      <w:pPr>
        <w:spacing w:after="0" w:line="240" w:lineRule="auto"/>
      </w:pPr>
      <w:r>
        <w:rPr>
          <w:color w:val="000000"/>
        </w:rPr>
        <w:separator/>
      </w:r>
    </w:p>
  </w:footnote>
  <w:footnote w:type="continuationSeparator" w:id="0">
    <w:p w14:paraId="586C295D" w14:textId="77777777" w:rsidR="00B750A1" w:rsidRDefault="00B750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776"/>
    <w:multiLevelType w:val="multilevel"/>
    <w:tmpl w:val="27F0A1DC"/>
    <w:styleLink w:val="LFO9"/>
    <w:lvl w:ilvl="0">
      <w:start w:val="1"/>
      <w:numFmt w:val="decimal"/>
      <w:pStyle w:val="Style2"/>
      <w:lvlText w:val="%1."/>
      <w:lvlJc w:val="left"/>
      <w:pPr>
        <w:ind w:left="720" w:hanging="720"/>
      </w:pPr>
    </w:lvl>
    <w:lvl w:ilvl="1">
      <w:start w:val="1"/>
      <w:numFmt w:val="decimal"/>
      <w:lvlText w:val="."/>
      <w:lvlJc w:val="left"/>
      <w:pPr>
        <w:ind w:left="1440" w:hanging="720"/>
      </w:pPr>
    </w:lvl>
    <w:lvl w:ilvl="2">
      <w:start w:val="1"/>
      <w:numFmt w:val="decimal"/>
      <w:lvlText w:val="."/>
      <w:lvlJc w:val="left"/>
      <w:pPr>
        <w:ind w:left="2160" w:hanging="720"/>
      </w:pPr>
    </w:lvl>
    <w:lvl w:ilvl="3">
      <w:start w:val="1"/>
      <w:numFmt w:val="decimal"/>
      <w:lvlText w:val="."/>
      <w:lvlJc w:val="left"/>
      <w:pPr>
        <w:ind w:left="2880" w:hanging="720"/>
      </w:pPr>
    </w:lvl>
    <w:lvl w:ilvl="4">
      <w:start w:val="1"/>
      <w:numFmt w:val="decimal"/>
      <w:lvlText w:val="."/>
      <w:lvlJc w:val="left"/>
      <w:pPr>
        <w:ind w:left="3600" w:hanging="720"/>
      </w:pPr>
    </w:lvl>
    <w:lvl w:ilvl="5">
      <w:start w:val="1"/>
      <w:numFmt w:val="decimal"/>
      <w:lvlText w:val="."/>
      <w:lvlJc w:val="left"/>
      <w:pPr>
        <w:ind w:left="4320" w:hanging="720"/>
      </w:pPr>
    </w:lvl>
    <w:lvl w:ilvl="6">
      <w:start w:val="1"/>
      <w:numFmt w:val="decimal"/>
      <w:lvlText w:val="."/>
      <w:lvlJc w:val="left"/>
      <w:pPr>
        <w:ind w:left="5040" w:hanging="720"/>
      </w:pPr>
    </w:lvl>
    <w:lvl w:ilvl="7">
      <w:start w:val="1"/>
      <w:numFmt w:val="decimal"/>
      <w:lvlText w:val="."/>
      <w:lvlJc w:val="left"/>
      <w:pPr>
        <w:ind w:left="5760" w:hanging="720"/>
      </w:pPr>
    </w:lvl>
    <w:lvl w:ilvl="8">
      <w:start w:val="1"/>
      <w:numFmt w:val="decimal"/>
      <w:lvlText w:val="."/>
      <w:lvlJc w:val="left"/>
      <w:pPr>
        <w:ind w:left="6480" w:hanging="720"/>
      </w:pPr>
    </w:lvl>
  </w:abstractNum>
  <w:abstractNum w:abstractNumId="1" w15:restartNumberingAfterBreak="0">
    <w:nsid w:val="06343350"/>
    <w:multiLevelType w:val="multilevel"/>
    <w:tmpl w:val="A15A6C5E"/>
    <w:styleLink w:val="LFO5"/>
    <w:lvl w:ilvl="0">
      <w:start w:val="1"/>
      <w:numFmt w:val="decimal"/>
      <w:pStyle w:val="T3"/>
      <w:lvlText w:val="%1."/>
      <w:lvlJc w:val="left"/>
      <w:pPr>
        <w:ind w:left="720" w:hanging="720"/>
      </w:pPr>
    </w:lvl>
    <w:lvl w:ilvl="1">
      <w:start w:val="1"/>
      <w:numFmt w:val="decimal"/>
      <w:lvlText w:val="."/>
      <w:lvlJc w:val="left"/>
      <w:pPr>
        <w:ind w:left="1440" w:hanging="720"/>
      </w:pPr>
    </w:lvl>
    <w:lvl w:ilvl="2">
      <w:start w:val="1"/>
      <w:numFmt w:val="decimal"/>
      <w:lvlText w:val="."/>
      <w:lvlJc w:val="left"/>
      <w:pPr>
        <w:ind w:left="2160" w:hanging="720"/>
      </w:pPr>
    </w:lvl>
    <w:lvl w:ilvl="3">
      <w:start w:val="1"/>
      <w:numFmt w:val="decimal"/>
      <w:lvlText w:val="."/>
      <w:lvlJc w:val="left"/>
      <w:pPr>
        <w:ind w:left="2880" w:hanging="720"/>
      </w:pPr>
    </w:lvl>
    <w:lvl w:ilvl="4">
      <w:start w:val="1"/>
      <w:numFmt w:val="decimal"/>
      <w:lvlText w:val="."/>
      <w:lvlJc w:val="left"/>
      <w:pPr>
        <w:ind w:left="3600" w:hanging="720"/>
      </w:pPr>
    </w:lvl>
    <w:lvl w:ilvl="5">
      <w:start w:val="1"/>
      <w:numFmt w:val="decimal"/>
      <w:lvlText w:val="."/>
      <w:lvlJc w:val="left"/>
      <w:pPr>
        <w:ind w:left="4320" w:hanging="720"/>
      </w:pPr>
    </w:lvl>
    <w:lvl w:ilvl="6">
      <w:start w:val="1"/>
      <w:numFmt w:val="decimal"/>
      <w:lvlText w:val="."/>
      <w:lvlJc w:val="left"/>
      <w:pPr>
        <w:ind w:left="5040" w:hanging="720"/>
      </w:pPr>
    </w:lvl>
    <w:lvl w:ilvl="7">
      <w:start w:val="1"/>
      <w:numFmt w:val="decimal"/>
      <w:lvlText w:val="."/>
      <w:lvlJc w:val="left"/>
      <w:pPr>
        <w:ind w:left="5760" w:hanging="720"/>
      </w:pPr>
    </w:lvl>
    <w:lvl w:ilvl="8">
      <w:start w:val="1"/>
      <w:numFmt w:val="decimal"/>
      <w:lvlText w:val="."/>
      <w:lvlJc w:val="left"/>
      <w:pPr>
        <w:ind w:left="6480" w:hanging="720"/>
      </w:pPr>
    </w:lvl>
  </w:abstractNum>
  <w:num w:numId="1" w16cid:durableId="1671713490">
    <w:abstractNumId w:val="1"/>
  </w:num>
  <w:num w:numId="2" w16cid:durableId="105124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15918"/>
    <w:rsid w:val="00115918"/>
    <w:rsid w:val="004F6C16"/>
    <w:rsid w:val="00B5356E"/>
    <w:rsid w:val="00B750A1"/>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E107A"/>
  <w15:docId w15:val="{0026E1BC-F93F-462A-B3DD-E4CE996B6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fr-CI"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Garamond" w:hAnsi="Garamond" w:cs="Times New Roman"/>
      <w:sz w:val="24"/>
      <w:szCs w:val="24"/>
    </w:rPr>
  </w:style>
  <w:style w:type="paragraph" w:styleId="Titre1">
    <w:name w:val="heading 1"/>
    <w:uiPriority w:val="9"/>
    <w:qFormat/>
    <w:pPr>
      <w:suppressAutoHyphens/>
      <w:spacing w:after="0" w:line="240" w:lineRule="auto"/>
      <w:outlineLvl w:val="0"/>
    </w:pPr>
    <w:rPr>
      <w:rFonts w:ascii="Garamond" w:hAnsi="Garamond" w:cs="Times New Roman"/>
      <w:b/>
      <w:bCs/>
      <w:sz w:val="32"/>
      <w:szCs w:val="32"/>
      <w:color w:val="0E4C74"/>
    </w:rPr>
  </w:style>
  <w:style w:type="paragraph" w:styleId="Titre2">
    <w:name w:val="heading 2"/>
    <w:uiPriority w:val="9"/>
    <w:semiHidden/>
    <w:unhideWhenUsed/>
    <w:qFormat/>
    <w:pPr>
      <w:suppressAutoHyphens/>
      <w:spacing w:after="0" w:line="240" w:lineRule="auto"/>
      <w:outlineLvl w:val="1"/>
    </w:pPr>
    <w:rPr>
      <w:rFonts w:ascii="Garamond" w:hAnsi="Garamond" w:cs="Times New Roman"/>
      <w:b/>
      <w:bCs/>
      <w:sz w:val="28"/>
      <w:szCs w:val="28"/>
      <w:color w:val="0E4C74"/>
    </w:rPr>
  </w:style>
  <w:style w:type="paragraph" w:styleId="Titre3">
    <w:name w:val="heading 3"/>
    <w:basedOn w:val="Normal"/>
    <w:next w:val="Normal"/>
    <w:uiPriority w:val="9"/>
    <w:semiHidden/>
    <w:unhideWhenUsed/>
    <w:qFormat/>
    <w:pPr>
      <w:keepNext/>
      <w:keepLines/>
      <w:spacing w:before="160" w:after="80"/>
      <w:outlineLvl w:val="2"/>
    </w:pPr>
    <w:rPr>
      <w:rFonts w:ascii="Garamond" w:hAnsi="Garamond" w:cs="Times New Roman"/>
      <w:b/>
      <w:bCs/>
      <w:sz w:val="24"/>
      <w:szCs w:val="24"/>
      <w:color w:val="1A6FA8"/>
    </w:rPr>
  </w:style>
  <w:style w:type="paragraph" w:styleId="Titre4">
    <w:name w:val="heading 4"/>
    <w:basedOn w:val="Normal"/>
    <w:next w:val="Normal"/>
    <w:uiPriority w:val="9"/>
    <w:semiHidden/>
    <w:unhideWhenUsed/>
    <w:qFormat/>
    <w:pPr>
      <w:keepNext/>
      <w:keepLines/>
      <w:spacing w:before="80" w:after="40"/>
      <w:outlineLvl w:val="3"/>
    </w:pPr>
    <w:rPr>
      <w:rFonts w:eastAsia="Times New Roman"/>
      <w:i/>
      <w:iCs/>
      <w:color w:val="2F5496"/>
    </w:rPr>
  </w:style>
  <w:style w:type="paragraph" w:styleId="Titre5">
    <w:name w:val="heading 5"/>
    <w:basedOn w:val="Normal"/>
    <w:next w:val="Normal"/>
    <w:uiPriority w:val="9"/>
    <w:semiHidden/>
    <w:unhideWhenUsed/>
    <w:qFormat/>
    <w:pPr>
      <w:keepNext/>
      <w:keepLines/>
      <w:spacing w:before="80" w:after="40"/>
      <w:outlineLvl w:val="4"/>
    </w:pPr>
    <w:rPr>
      <w:rFonts w:eastAsia="Times New Roman"/>
      <w:color w:val="2F5496"/>
    </w:rPr>
  </w:style>
  <w:style w:type="paragraph" w:styleId="Titre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itre7">
    <w:name w:val="heading 7"/>
    <w:basedOn w:val="Normal"/>
    <w:next w:val="Normal"/>
    <w:pPr>
      <w:keepNext/>
      <w:keepLines/>
      <w:spacing w:before="40" w:after="0"/>
      <w:outlineLvl w:val="6"/>
    </w:pPr>
    <w:rPr>
      <w:rFonts w:eastAsia="Times New Roman"/>
      <w:color w:val="595959"/>
    </w:rPr>
  </w:style>
  <w:style w:type="paragraph" w:styleId="Titre8">
    <w:name w:val="heading 8"/>
    <w:basedOn w:val="Normal"/>
    <w:next w:val="Normal"/>
    <w:pPr>
      <w:keepNext/>
      <w:keepLines/>
      <w:spacing w:after="0"/>
      <w:outlineLvl w:val="7"/>
    </w:pPr>
    <w:rPr>
      <w:rFonts w:eastAsia="Times New Roman"/>
      <w:i/>
      <w:iCs/>
      <w:color w:val="272727"/>
    </w:rPr>
  </w:style>
  <w:style w:type="paragraph" w:styleId="Titre9">
    <w:name w:val="heading 9"/>
    <w:basedOn w:val="Normal"/>
    <w:next w:val="Normal"/>
    <w:pPr>
      <w:keepNext/>
      <w:keepLines/>
      <w:spacing w:after="0"/>
      <w:outlineLvl w:val="8"/>
    </w:pPr>
    <w:rPr>
      <w:rFonts w:eastAsia="Times New Roman"/>
      <w:color w:val="2727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rPr>
      <w:rFonts w:ascii="Times New Roman" w:eastAsia="Times New Roman" w:hAnsi="Times New Roman" w:cs="Times New Roman"/>
      <w:b/>
      <w:color w:val="008080"/>
      <w:sz w:val="32"/>
      <w:szCs w:val="32"/>
      <w:lang w:eastAsia="fr-CI"/>
    </w:rPr>
  </w:style>
  <w:style w:type="paragraph" w:customStyle="1" w:styleId="T3">
    <w:name w:val="T3"/>
    <w:basedOn w:val="Normal"/>
    <w:pPr>
      <w:numPr>
        <w:numId w:val="1"/>
      </w:numPr>
      <w:tabs>
        <w:tab w:val="left" w:pos="720"/>
      </w:tabs>
      <w:spacing w:after="0" w:line="360" w:lineRule="auto"/>
      <w:contextualSpacing/>
      <w:jc w:val="both"/>
    </w:pPr>
    <w:rPr>
      <w:rFonts w:ascii="Arial" w:eastAsia="Times New Roman" w:hAnsi="Arial"/>
      <w:b/>
      <w:color w:val="004A99"/>
      <w:spacing w:val="-10"/>
      <w:kern w:val="3"/>
      <w:sz w:val="24"/>
      <w:szCs w:val="56"/>
    </w:rPr>
  </w:style>
  <w:style w:type="character" w:customStyle="1" w:styleId="T3Car">
    <w:name w:val="T3 Car"/>
    <w:basedOn w:val="Policepardfaut"/>
    <w:rPr>
      <w:rFonts w:ascii="Arial" w:eastAsia="Times New Roman" w:hAnsi="Arial" w:cs="Times New Roman"/>
      <w:b/>
      <w:color w:val="004A99"/>
      <w:spacing w:val="-10"/>
      <w:kern w:val="3"/>
      <w:sz w:val="24"/>
      <w:szCs w:val="56"/>
    </w:rPr>
  </w:style>
  <w:style w:type="paragraph" w:customStyle="1" w:styleId="T2">
    <w:name w:val="T2"/>
    <w:basedOn w:val="Titre"/>
    <w:pPr>
      <w:tabs>
        <w:tab w:val="left" w:pos="720"/>
      </w:tabs>
      <w:spacing w:after="0" w:line="360" w:lineRule="auto"/>
      <w:ind w:left="1080" w:hanging="360"/>
      <w:jc w:val="both"/>
    </w:pPr>
    <w:rPr>
      <w:rFonts w:ascii="Arial" w:hAnsi="Arial"/>
      <w:color w:val="004A99"/>
      <w:sz w:val="28"/>
    </w:rPr>
  </w:style>
  <w:style w:type="character" w:customStyle="1" w:styleId="T2Car">
    <w:name w:val="T2 Car"/>
    <w:basedOn w:val="Policepardfaut"/>
    <w:rPr>
      <w:rFonts w:ascii="Arial" w:eastAsia="Times New Roman" w:hAnsi="Arial" w:cs="Times New Roman"/>
      <w:color w:val="004A99"/>
      <w:spacing w:val="-10"/>
      <w:kern w:val="3"/>
      <w:sz w:val="28"/>
      <w:szCs w:val="56"/>
    </w:rPr>
  </w:style>
  <w:style w:type="paragraph" w:styleId="Titre">
    <w:name w:val="Title"/>
    <w:basedOn w:val="Normal"/>
    <w:next w:val="Normal"/>
    <w:uiPriority w:val="10"/>
    <w:qFormat/>
    <w:pPr>
      <w:spacing w:after="80" w:line="240" w:lineRule="auto"/>
      <w:contextualSpacing/>
    </w:pPr>
    <w:rPr>
      <w:rFonts w:ascii="Calibri Light" w:eastAsia="Times New Roman" w:hAnsi="Calibri Light"/>
      <w:spacing w:val="-10"/>
      <w:kern w:val="3"/>
      <w:sz w:val="56"/>
      <w:szCs w:val="56"/>
    </w:rPr>
  </w:style>
  <w:style w:type="character" w:customStyle="1" w:styleId="TitreCar">
    <w:name w:val="Titre Car"/>
    <w:basedOn w:val="Policepardfaut"/>
    <w:rPr>
      <w:rFonts w:ascii="Calibri Light" w:eastAsia="Times New Roman" w:hAnsi="Calibri Light" w:cs="Times New Roman"/>
      <w:spacing w:val="-10"/>
      <w:kern w:val="3"/>
      <w:sz w:val="56"/>
      <w:szCs w:val="56"/>
    </w:rPr>
  </w:style>
  <w:style w:type="paragraph" w:customStyle="1" w:styleId="T1">
    <w:name w:val="T1"/>
    <w:basedOn w:val="Titre2"/>
    <w:pPr>
      <w:tabs>
        <w:tab w:val="left" w:pos="720"/>
      </w:tabs>
      <w:spacing w:line="360" w:lineRule="auto"/>
      <w:ind w:left="1080" w:hanging="360"/>
      <w:jc w:val="both"/>
    </w:pPr>
    <w:rPr>
      <w:rFonts w:ascii="Arial" w:hAnsi="Arial"/>
      <w:b/>
      <w:color w:val="004089"/>
    </w:rPr>
  </w:style>
  <w:style w:type="character" w:customStyle="1" w:styleId="T1Car">
    <w:name w:val="T1 Car"/>
    <w:basedOn w:val="Policepardfaut"/>
    <w:rPr>
      <w:rFonts w:ascii="Arial" w:eastAsia="Times New Roman" w:hAnsi="Arial" w:cs="Times New Roman"/>
      <w:b/>
      <w:color w:val="004089"/>
      <w:sz w:val="32"/>
      <w:szCs w:val="32"/>
    </w:rPr>
  </w:style>
  <w:style w:type="character" w:customStyle="1" w:styleId="Titre2Car">
    <w:name w:val="Titre 2 Car"/>
    <w:basedOn w:val="Policepardfaut"/>
    <w:rPr>
      <w:rFonts w:ascii="Times New Roman" w:eastAsia="Times New Roman" w:hAnsi="Times New Roman" w:cs="Times New Roman"/>
      <w:color w:val="008080"/>
      <w:sz w:val="26"/>
      <w:szCs w:val="26"/>
      <w:lang w:eastAsia="fr-CI"/>
    </w:rPr>
  </w:style>
  <w:style w:type="paragraph" w:customStyle="1" w:styleId="Corps">
    <w:name w:val="Corps"/>
    <w:basedOn w:val="T3"/>
    <w:rPr>
      <w:rFonts w:ascii="Cambria" w:hAnsi="Cambria"/>
      <w:b w:val="0"/>
    </w:rPr>
  </w:style>
  <w:style w:type="character" w:customStyle="1" w:styleId="CorpsCar">
    <w:name w:val="Corps Car"/>
    <w:basedOn w:val="T3Car"/>
    <w:rPr>
      <w:rFonts w:ascii="Cambria" w:eastAsia="Times New Roman" w:hAnsi="Cambria" w:cs="Times New Roman"/>
      <w:b w:val="0"/>
      <w:color w:val="004A99"/>
      <w:spacing w:val="-10"/>
      <w:kern w:val="3"/>
      <w:sz w:val="24"/>
      <w:szCs w:val="56"/>
    </w:rPr>
  </w:style>
  <w:style w:type="paragraph" w:customStyle="1" w:styleId="GP">
    <w:name w:val="GP"/>
    <w:basedOn w:val="Normal"/>
    <w:pPr>
      <w:spacing w:line="360" w:lineRule="auto"/>
      <w:jc w:val="both"/>
    </w:pPr>
    <w:rPr>
      <w:rFonts w:ascii="Arial" w:hAnsi="Arial"/>
      <w:b/>
      <w:color w:val="004089"/>
      <w:sz w:val="32"/>
    </w:rPr>
  </w:style>
  <w:style w:type="character" w:customStyle="1" w:styleId="GPCar">
    <w:name w:val="GP Car"/>
    <w:basedOn w:val="Policepardfaut"/>
    <w:rPr>
      <w:rFonts w:ascii="Arial" w:hAnsi="Arial"/>
      <w:b/>
      <w:color w:val="004089"/>
      <w:sz w:val="32"/>
    </w:rPr>
  </w:style>
  <w:style w:type="paragraph" w:customStyle="1" w:styleId="Style1">
    <w:name w:val="Style1"/>
    <w:basedOn w:val="Normal"/>
    <w:autoRedefine/>
    <w:pPr>
      <w:spacing w:line="360" w:lineRule="auto"/>
      <w:jc w:val="both"/>
    </w:pPr>
    <w:rPr>
      <w:rFonts w:ascii="Times New Roman" w:hAnsi="Times New Roman"/>
      <w:b/>
      <w:color w:val="1F3864"/>
      <w:sz w:val="24"/>
      <w:lang w:val="fr-FR"/>
    </w:rPr>
  </w:style>
  <w:style w:type="character" w:customStyle="1" w:styleId="Style1Car">
    <w:name w:val="Style1 Car"/>
    <w:basedOn w:val="Policepardfaut"/>
    <w:rPr>
      <w:rFonts w:ascii="Times New Roman" w:hAnsi="Times New Roman"/>
      <w:b/>
      <w:color w:val="1F3864"/>
      <w:sz w:val="24"/>
      <w:lang w:val="fr-FR"/>
    </w:rPr>
  </w:style>
  <w:style w:type="paragraph" w:customStyle="1" w:styleId="Style2">
    <w:name w:val="Style2"/>
    <w:basedOn w:val="Normal"/>
    <w:autoRedefine/>
    <w:pPr>
      <w:numPr>
        <w:numId w:val="2"/>
      </w:numPr>
      <w:spacing w:line="360" w:lineRule="auto"/>
      <w:jc w:val="both"/>
    </w:pPr>
    <w:rPr>
      <w:rFonts w:ascii="Times New Roman" w:eastAsia="Arial" w:hAnsi="Times New Roman"/>
      <w:b/>
      <w:color w:val="1F3864"/>
      <w:spacing w:val="-10"/>
      <w:kern w:val="3"/>
      <w:sz w:val="24"/>
      <w:szCs w:val="56"/>
    </w:rPr>
  </w:style>
  <w:style w:type="character" w:customStyle="1" w:styleId="Style2Car">
    <w:name w:val="Style2 Car"/>
    <w:basedOn w:val="Policepardfaut"/>
    <w:rPr>
      <w:rFonts w:ascii="Times New Roman" w:eastAsia="Arial" w:hAnsi="Times New Roman" w:cs="Times New Roman"/>
      <w:b/>
      <w:color w:val="1F3864"/>
      <w:spacing w:val="-10"/>
      <w:kern w:val="3"/>
      <w:sz w:val="24"/>
      <w:szCs w:val="56"/>
    </w:rPr>
  </w:style>
  <w:style w:type="character" w:customStyle="1" w:styleId="Titre3Car">
    <w:name w:val="Titre 3 Car"/>
    <w:basedOn w:val="Policepardfaut"/>
    <w:rPr>
      <w:rFonts w:eastAsia="Times New Roman" w:cs="Times New Roman"/>
      <w:color w:val="2F5496"/>
      <w:sz w:val="28"/>
      <w:szCs w:val="28"/>
    </w:rPr>
  </w:style>
  <w:style w:type="character" w:customStyle="1" w:styleId="Titre4Car">
    <w:name w:val="Titre 4 Car"/>
    <w:basedOn w:val="Policepardfaut"/>
    <w:rPr>
      <w:rFonts w:eastAsia="Times New Roman" w:cs="Times New Roman"/>
      <w:i/>
      <w:iCs/>
      <w:color w:val="2F5496"/>
    </w:rPr>
  </w:style>
  <w:style w:type="character" w:customStyle="1" w:styleId="Titre5Car">
    <w:name w:val="Titre 5 Car"/>
    <w:basedOn w:val="Policepardfaut"/>
    <w:rPr>
      <w:rFonts w:eastAsia="Times New Roman" w:cs="Times New Roman"/>
      <w:color w:val="2F5496"/>
    </w:rPr>
  </w:style>
  <w:style w:type="character" w:customStyle="1" w:styleId="Titre6Car">
    <w:name w:val="Titre 6 Car"/>
    <w:basedOn w:val="Policepardfaut"/>
    <w:rPr>
      <w:rFonts w:eastAsia="Times New Roman" w:cs="Times New Roman"/>
      <w:i/>
      <w:iCs/>
      <w:color w:val="595959"/>
    </w:rPr>
  </w:style>
  <w:style w:type="character" w:customStyle="1" w:styleId="Titre7Car">
    <w:name w:val="Titre 7 Car"/>
    <w:basedOn w:val="Policepardfaut"/>
    <w:rPr>
      <w:rFonts w:eastAsia="Times New Roman" w:cs="Times New Roman"/>
      <w:color w:val="595959"/>
    </w:rPr>
  </w:style>
  <w:style w:type="character" w:customStyle="1" w:styleId="Titre8Car">
    <w:name w:val="Titre 8 Car"/>
    <w:basedOn w:val="Policepardfaut"/>
    <w:rPr>
      <w:rFonts w:eastAsia="Times New Roman" w:cs="Times New Roman"/>
      <w:i/>
      <w:iCs/>
      <w:color w:val="272727"/>
    </w:rPr>
  </w:style>
  <w:style w:type="character" w:customStyle="1" w:styleId="Titre9Car">
    <w:name w:val="Titre 9 Car"/>
    <w:basedOn w:val="Policepardfaut"/>
    <w:rPr>
      <w:rFonts w:eastAsia="Times New Roman" w:cs="Times New Roman"/>
      <w:color w:val="272727"/>
    </w:rPr>
  </w:style>
  <w:style w:type="paragraph" w:styleId="Sous-titre">
    <w:name w:val="Subtitle"/>
    <w:basedOn w:val="Normal"/>
    <w:next w:val="Normal"/>
    <w:uiPriority w:val="11"/>
    <w:qFormat/>
    <w:rPr>
      <w:rFonts w:eastAsia="Times New Roman"/>
      <w:color w:val="595959"/>
      <w:spacing w:val="15"/>
      <w:sz w:val="28"/>
      <w:szCs w:val="28"/>
    </w:rPr>
  </w:style>
  <w:style w:type="character" w:customStyle="1" w:styleId="Sous-titreCar">
    <w:name w:val="Sous-titre Car"/>
    <w:basedOn w:val="Policepardfaut"/>
    <w:rPr>
      <w:rFonts w:eastAsia="Times New Roman" w:cs="Times New Roman"/>
      <w:color w:val="595959"/>
      <w:spacing w:val="15"/>
      <w:sz w:val="28"/>
      <w:szCs w:val="28"/>
    </w:rPr>
  </w:style>
  <w:style w:type="paragraph" w:styleId="Citation">
    <w:name w:val="Quote"/>
    <w:basedOn w:val="Normal"/>
    <w:next w:val="Normal"/>
    <w:pPr>
      <w:spacing w:before="160"/>
      <w:jc w:val="center"/>
    </w:pPr>
    <w:rPr>
      <w:i/>
      <w:iCs/>
      <w:color w:val="404040"/>
    </w:rPr>
  </w:style>
  <w:style w:type="character" w:customStyle="1" w:styleId="CitationCar">
    <w:name w:val="Citation Car"/>
    <w:basedOn w:val="Policepardfaut"/>
    <w:rPr>
      <w:i/>
      <w:iCs/>
      <w:color w:val="404040"/>
    </w:rPr>
  </w:style>
  <w:style w:type="paragraph" w:styleId="Paragraphedeliste">
    <w:name w:val="List Paragraph"/>
    <w:basedOn w:val="Normal"/>
    <w:pPr>
      <w:ind w:left="720"/>
      <w:contextualSpacing/>
    </w:pPr>
  </w:style>
  <w:style w:type="character" w:styleId="Accentuationintense">
    <w:name w:val="Intense Emphasis"/>
    <w:basedOn w:val="Policepardfaut"/>
    <w:rPr>
      <w:i/>
      <w:iCs/>
      <w:color w:val="2F5496"/>
    </w:rPr>
  </w:style>
  <w:style w:type="paragraph" w:styleId="Citationintense">
    <w:name w:val="Intense Quote"/>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CitationintenseCar">
    <w:name w:val="Citation intense Car"/>
    <w:basedOn w:val="Policepardfaut"/>
    <w:rPr>
      <w:i/>
      <w:iCs/>
      <w:color w:val="2F5496"/>
    </w:rPr>
  </w:style>
  <w:style w:type="character" w:styleId="Rfrenceintense">
    <w:name w:val="Intense Reference"/>
    <w:basedOn w:val="Policepardfaut"/>
    <w:rPr>
      <w:b/>
      <w:bCs/>
      <w:smallCaps/>
      <w:color w:val="2F5496"/>
      <w:spacing w:val="5"/>
    </w:rPr>
  </w:style>
  <w:style w:type="paragraph" w:styleId="En-tte">
    <w:name w:val="header"/>
    <w:basedOn w:val="Normal"/>
    <w:pPr>
      <w:tabs>
        <w:tab w:val="center" w:pos="4536"/>
        <w:tab w:val="right" w:pos="9072"/>
      </w:tabs>
      <w:spacing w:after="0" w:line="240" w:lineRule="auto"/>
    </w:pPr>
  </w:style>
  <w:style w:type="character" w:customStyle="1" w:styleId="En-tteCar">
    <w:name w:val="En-tête Car"/>
    <w:basedOn w:val="Policepardfaut"/>
  </w:style>
  <w:style w:type="paragraph" w:styleId="Pieddepage">
    <w:name w:val="footer"/>
    <w:basedOn w:val="Normal"/>
    <w:pPr>
      <w:tabs>
        <w:tab w:val="center" w:pos="4536"/>
        <w:tab w:val="right" w:pos="9072"/>
      </w:tabs>
      <w:spacing w:after="0" w:line="240" w:lineRule="auto"/>
    </w:pPr>
  </w:style>
  <w:style w:type="character" w:customStyle="1" w:styleId="PieddepageCar">
    <w:name w:val="Pied de page Car"/>
    <w:basedOn w:val="Policepardfaut"/>
  </w:style>
  <w:style w:type="character" w:styleId="Lienhypertexte">
    <w:name w:val="Hyperlink"/>
    <w:basedOn w:val="Policepardfaut"/>
    <w:rPr>
      <w:color w:val="0563C1"/>
      <w:u w:val="single"/>
    </w:rPr>
  </w:style>
  <w:style w:type="paragraph" w:styleId="TM3">
    <w:name w:val="toc 3"/>
    <w:basedOn w:val="Normal"/>
    <w:next w:val="Normal"/>
    <w:autoRedefine/>
    <w:pPr>
      <w:tabs>
        <w:tab w:val="left" w:pos="880"/>
        <w:tab w:val="right" w:leader="dot" w:pos="9062"/>
      </w:tabs>
      <w:spacing w:after="100" w:line="240" w:lineRule="auto"/>
      <w:ind w:left="440"/>
    </w:pPr>
    <w:rPr>
      <w:lang w:val="fr-FR"/>
    </w:rPr>
  </w:style>
  <w:style w:type="paragraph" w:styleId="TM2">
    <w:name w:val="toc 2"/>
    <w:basedOn w:val="Normal"/>
    <w:next w:val="Normal"/>
    <w:autoRedefine/>
    <w:pPr>
      <w:tabs>
        <w:tab w:val="left" w:pos="660"/>
        <w:tab w:val="right" w:leader="dot" w:pos="9062"/>
      </w:tabs>
      <w:spacing w:after="100"/>
      <w:ind w:left="220"/>
    </w:pPr>
    <w:rPr>
      <w:rFonts w:ascii="Times New Roman" w:hAnsi="Times New Roman"/>
      <w:b/>
      <w:bCs/>
      <w:lang w:val="fr-FR"/>
    </w:rPr>
  </w:style>
  <w:style w:type="paragraph" w:customStyle="1" w:styleId="En-ttedetabledesmatires1">
    <w:name w:val="En-tête de table des matières1"/>
    <w:basedOn w:val="Titre1"/>
    <w:next w:val="Normal"/>
    <w:pPr>
      <w:keepNext/>
      <w:keepLines/>
      <w:spacing w:before="240" w:line="256" w:lineRule="auto"/>
    </w:pPr>
    <w:rPr>
      <w:rFonts w:ascii="Calibri Light" w:hAnsi="Calibri Light"/>
      <w:b w:val="0"/>
      <w:color w:val="2F5496"/>
      <w:lang w:val="zh-CN" w:eastAsia="zh-CN"/>
    </w:rPr>
  </w:style>
  <w:style w:type="numbering" w:customStyle="1" w:styleId="LFO5">
    <w:name w:val="LFO5"/>
    <w:basedOn w:val="Aucuneliste"/>
    <w:pPr>
      <w:numPr>
        <w:numId w:val="1"/>
      </w:numPr>
    </w:pPr>
  </w:style>
  <w:style w:type="numbering" w:customStyle="1" w:styleId="LFO9">
    <w:name w:val="LFO9"/>
    <w:basedOn w:val="Aucuneliste"/>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_Toc216781640" TargetMode="External"/><Relationship Id="rId13" Type="http://schemas.openxmlformats.org/officeDocument/2006/relationships/hyperlink" Target="#_Toc216781646" TargetMode="External"/><Relationship Id="rId18" Type="http://schemas.openxmlformats.org/officeDocument/2006/relationships/hyperlink" Target="#_Toc216781651" TargetMode="External"/><Relationship Id="rId26" Type="http://schemas.openxmlformats.org/officeDocument/2006/relationships/hyperlink" Target="#_Toc216781660" TargetMode="External"/><Relationship Id="rId3" Type="http://schemas.openxmlformats.org/officeDocument/2006/relationships/settings" Target="settings.xml"/><Relationship Id="rId21" Type="http://schemas.openxmlformats.org/officeDocument/2006/relationships/hyperlink" Target="#_Toc216781654" TargetMode="External"/><Relationship Id="rId7" Type="http://schemas.openxmlformats.org/officeDocument/2006/relationships/image" Target="media/image1.png"/><Relationship Id="rId12" Type="http://schemas.openxmlformats.org/officeDocument/2006/relationships/hyperlink" Target="#_Toc216781644" TargetMode="External"/><Relationship Id="rId17" Type="http://schemas.openxmlformats.org/officeDocument/2006/relationships/hyperlink" Target="#_Toc216781650" TargetMode="External"/><Relationship Id="rId25" Type="http://schemas.openxmlformats.org/officeDocument/2006/relationships/hyperlink" Target="#_Toc216781659" TargetMode="External"/><Relationship Id="rId2" Type="http://schemas.openxmlformats.org/officeDocument/2006/relationships/styles" Target="styles.xml"/><Relationship Id="rId16" Type="http://schemas.openxmlformats.org/officeDocument/2006/relationships/hyperlink" Target="#_Toc216781649" TargetMode="External"/><Relationship Id="rId20" Type="http://schemas.openxmlformats.org/officeDocument/2006/relationships/hyperlink" Target="#_Toc216781653"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_Toc216781643" TargetMode="External"/><Relationship Id="rId24" Type="http://schemas.openxmlformats.org/officeDocument/2006/relationships/hyperlink" Target="#_Toc216781658" TargetMode="External"/><Relationship Id="rId5" Type="http://schemas.openxmlformats.org/officeDocument/2006/relationships/footnotes" Target="footnotes.xml"/><Relationship Id="rId15" Type="http://schemas.openxmlformats.org/officeDocument/2006/relationships/hyperlink" Target="#_Toc216781648" TargetMode="External"/><Relationship Id="rId23" Type="http://schemas.openxmlformats.org/officeDocument/2006/relationships/hyperlink" Target="#_Toc216781657" TargetMode="External"/><Relationship Id="rId28" Type="http://schemas.openxmlformats.org/officeDocument/2006/relationships/fontTable" Target="fontTable.xml"/><Relationship Id="rId10" Type="http://schemas.openxmlformats.org/officeDocument/2006/relationships/hyperlink" Target="#_Toc216781642" TargetMode="External"/><Relationship Id="rId19" Type="http://schemas.openxmlformats.org/officeDocument/2006/relationships/hyperlink" Target="#_Toc216781652" TargetMode="External"/><Relationship Id="rId4" Type="http://schemas.openxmlformats.org/officeDocument/2006/relationships/webSettings" Target="webSettings.xml"/><Relationship Id="rId9" Type="http://schemas.openxmlformats.org/officeDocument/2006/relationships/hyperlink" Target="#_Toc216781641" TargetMode="External"/><Relationship Id="rId14" Type="http://schemas.openxmlformats.org/officeDocument/2006/relationships/hyperlink" Target="#_Toc216781647" TargetMode="External"/><Relationship Id="rId22" Type="http://schemas.openxmlformats.org/officeDocument/2006/relationships/hyperlink" Target="#_Toc216781655" TargetMode="External"/><Relationship Id="rId27" Type="http://schemas.openxmlformats.org/officeDocument/2006/relationships/footer" Target="footer1.xml"/><Relationship Id="rId100"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252</Words>
  <Characters>1391</Characters>
  <Application>Microsoft Office Word</Application>
  <DocSecurity>0</DocSecurity>
  <Lines>11</Lines>
  <Paragraphs>3</Paragraphs>
  <ScaleCrop>false</ScaleCrop>
  <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NANA Abdoul Aziz</dc:creator>
  <dc:description/>
  <cp:lastModifiedBy>NANA Abdoul Aziz</cp:lastModifiedBy>
  <cp:revision>2</cp:revision>
  <dcterms:created xsi:type="dcterms:W3CDTF">2026-07-04T11:54:00Z</dcterms:created>
  <dcterms:modified xsi:type="dcterms:W3CDTF">2026-07-04T11:54:00Z</dcterms:modified>
</cp:coreProperties>
</file>