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04D3F37C" w14:textId="77777777" w:rsidR="00115918" w:rsidRDefault="00115918"/>
    <w:p w14:paraId="52309A63" w14:textId="77777777" w:rsidR="00115918" w:rsidRDefault="00115918"/>
    <w:p w14:paraId="2D9FA69A" w14:textId="77777777" w:rsidR="00115918" w:rsidRDefault="00000000">
      <w:r>
        <w:rPr>
          <w:noProof/>
        </w:rPr>
        <w:drawing>
          <wp:anchor distT="0" distB="0" distL="114300" distR="114300" simplePos="0" relativeHeight="251665408" behindDoc="0" locked="0" layoutInCell="1" allowOverlap="1" wp14:anchorId="4FC95499" wp14:editId="79BF55C2">
            <wp:simplePos x="0" y="0"/>
            <wp:positionH relativeFrom="margin">
              <wp:posOffset>2025652</wp:posOffset>
            </wp:positionH>
            <wp:positionV relativeFrom="margin">
              <wp:posOffset>777240</wp:posOffset>
            </wp:positionV>
            <wp:extent cx="1588139" cy="1714500"/>
            <wp:effectExtent l="0" t="0" r="0" b="0"/>
            <wp:wrapTight wrapText="bothSides">
              <wp:wrapPolygon edited="0">
                <wp:start x="9846" y="0"/>
                <wp:lineTo x="7773" y="240"/>
                <wp:lineTo x="2850" y="2880"/>
                <wp:lineTo x="2850" y="3840"/>
                <wp:lineTo x="1036" y="7440"/>
                <wp:lineTo x="1295" y="11520"/>
                <wp:lineTo x="3627" y="15360"/>
                <wp:lineTo x="0" y="18720"/>
                <wp:lineTo x="259" y="20400"/>
                <wp:lineTo x="20987" y="20400"/>
                <wp:lineTo x="21246" y="18960"/>
                <wp:lineTo x="18137" y="15360"/>
                <wp:lineTo x="20469" y="11520"/>
                <wp:lineTo x="20728" y="7680"/>
                <wp:lineTo x="19432" y="2880"/>
                <wp:lineTo x="14250" y="240"/>
                <wp:lineTo x="11918" y="0"/>
                <wp:lineTo x="9846" y="0"/>
              </wp:wrapPolygon>
            </wp:wrapTight>
            <wp:docPr id="878130029" name="Imag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588139" cy="1714500"/>
                    </a:xfrm>
                    <a:prstGeom prst="rect">
                      <a:avLst/>
                    </a:prstGeom>
                    <a:noFill/>
                    <a:ln>
                      <a:noFill/>
                      <a:prstDash/>
                    </a:ln>
                  </pic:spPr>
                </pic:pic>
              </a:graphicData>
            </a:graphic>
          </wp:anchor>
        </w:drawing>
      </w:r>
    </w:p>
    <w:p w14:paraId="60C7253B" w14:textId="77777777" w:rsidR="00115918" w:rsidRDefault="00115918"/>
    <w:p w14:paraId="52EC269E" w14:textId="77777777" w:rsidR="00115918" w:rsidRDefault="00115918"/>
    <w:p w14:paraId="4892619A" w14:textId="77777777" w:rsidR="00115918" w:rsidRDefault="00115918"/>
    <w:p w14:paraId="32B7217F" w14:textId="77777777" w:rsidR="00115918" w:rsidRDefault="00115918"/>
    <w:p w14:paraId="368CC2BB" w14:textId="77777777" w:rsidR="00115918" w:rsidRDefault="00115918"/>
    <w:p w14:paraId="51173F3F" w14:textId="77777777" w:rsidR="00115918" w:rsidRDefault="00115918"/>
    <w:p w14:paraId="03E24063" w14:textId="77777777" w:rsidR="00115918" w:rsidRDefault="00000000">
      <w:r>
        <w:rPr>
          <w:noProof/>
        </w:rPr>
        <mc:AlternateContent>
          <mc:Choice Requires="wps">
            <w:drawing>
              <wp:anchor distT="0" distB="0" distL="114300" distR="114300" simplePos="0" relativeHeight="251667456" behindDoc="0" locked="0" layoutInCell="1" allowOverlap="1" wp14:anchorId="3C49EE0F" wp14:editId="7B3E9594">
                <wp:simplePos x="0" y="0"/>
                <wp:positionH relativeFrom="column">
                  <wp:posOffset>487046</wp:posOffset>
                </wp:positionH>
                <wp:positionV relativeFrom="paragraph">
                  <wp:posOffset>114300</wp:posOffset>
                </wp:positionV>
                <wp:extent cx="4914900" cy="381003"/>
                <wp:effectExtent l="0" t="0" r="0" b="0"/>
                <wp:wrapNone/>
                <wp:docPr id="896563753" name="Zone de texte 3"/>
                <wp:cNvGraphicFramePr/>
                <a:graphic xmlns:a="http://schemas.openxmlformats.org/drawingml/2006/main">
                  <a:graphicData uri="http://schemas.microsoft.com/office/word/2010/wordprocessingShape">
                    <wps:wsp>
                      <wps:cNvSpPr txBox="1"/>
                      <wps:spPr>
                        <a:xfrm>
                          <a:off x="0" y="0"/>
                          <a:ext cx="4914900" cy="381003"/>
                        </a:xfrm>
                        <a:prstGeom prst="rect">
                          <a:avLst/>
                        </a:prstGeom>
                        <a:solidFill>
                          <a:srgbClr val="FFFFFF"/>
                        </a:solidFill>
                        <a:ln>
                          <a:noFill/>
                          <a:prstDash/>
                        </a:ln>
                      </wps:spPr>
                      <wps:txbx>
                        <w:txbxContent>
                          <w:p w14:paraId="5203C19F" w14:textId="77777777" w:rsidR="00115918" w:rsidRDefault="00000000">
                            <w:pPr>
                              <w:jc w:val="center"/>
                              <w:rPr>
                                <w:rFonts w:ascii="Times New Roman" w:hAnsi="Times New Roman"/>
                                <w:b/>
                                <w:bCs/>
                                <w:sz w:val="28"/>
                                <w:szCs w:val="28"/>
                                <w:lang w:val="fr-FR"/>
                              </w:rPr>
                            </w:pPr>
                            <w:r>
                              <w:rPr>
                                <w:rFonts w:ascii="Times New Roman" w:hAnsi="Times New Roman"/>
                                <w:b/>
                                <w:bCs/>
                                <w:sz w:val="28"/>
                                <w:szCs w:val="28"/>
                                <w:lang w:val="fr-FR"/>
                              </w:rPr>
                              <w:t>PORT AUTONOME D’ABIDJAN</w:t>
                            </w:r>
                          </w:p>
                        </w:txbxContent>
                      </wps:txbx>
                      <wps:bodyPr vert="horz" wrap="square" lIns="91440" tIns="45720" rIns="91440" bIns="45720" anchor="t" anchorCtr="0" compatLnSpc="1">
                        <a:noAutofit/>
                      </wps:bodyPr>
                    </wps:wsp>
                  </a:graphicData>
                </a:graphic>
              </wp:anchor>
            </w:drawing>
          </mc:Choice>
          <mc:Fallback>
            <w:pict>
              <v:shapetype w14:anchorId="3C49EE0F" id="_x0000_t202" coordsize="21600,21600" o:spt="202" path="m,l,21600r21600,l21600,xe">
                <v:stroke joinstyle="miter"/>
                <v:path gradientshapeok="t" o:connecttype="rect"/>
              </v:shapetype>
              <v:shape id="Zone de texte 3" o:spid="_x0000_s1026" type="#_x0000_t202" style="position:absolute;margin-left:38.35pt;margin-top:9pt;width:387pt;height:30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VrPazgEAAJUDAAAOAAAAZHJzL2Uyb0RvYy54bWysU8GO0zAQvSPxD5bvNGm3wG7UdAVbFSGt AKnwAY5jN5Ycjxm7TcrXM3ZKW+CGyMHx+I1f3ryZrB7H3rKjwmDA1Xw+KzlTTkJr3L7m375uX91z FqJwrbDgVM1PKvDH9csXq8FXagEd2FYhIxIXqsHXvIvRV0URZKd6EWbglSNQA/YiUoj7okUxEHtv i0VZvikGwNYjSBUCnW4mkK8zv9ZKxs9aBxWZrTlpi3nFvDZpLdYrUe1R+M7IswzxDyp6YRx99EK1 EVGwA5q/qHojEQLoOJPQF6C1kSrXQNXMyz+q2XXCq1wLmRP8xabw/2jlp+POf0EWx/cwUgOTIYMP VaDDVM+osU9vUsoIJwtPF9vUGJmkw+XDfPlQEiQJu7ufl+Vdoimutz2G+EFBz9Km5khtyW6J43OI U+qvlPSxANa0W2NtDnDfPFlkR0Et3ObnzP5bmnUp2UG6lpuaCDcidBN9gotrYWkXx2YkMG0baE9k As0xqesAf3A20EzUPHw/CFSc2Y+OTKc6l2mIcrB8/XZBAd4izS0inCSqmkfOpu1TnAaPOu9FfHY7 L5Pjk+53hwjaZDOuis6aqffZzvOcpuG6jXPW9W9a/wQAAP//AwBQSwMEFAAGAAgAAAAhAOkOtAza AAAACAEAAA8AAABkcnMvZG93bnJldi54bWxMj81OhEAQhO8mvsOkTbwYd9C4gMiwURON1/15gIbp BSLTQ5jZhX1725Meu6pS/VW5WdygzjSF3rOBh1UCirjxtufWwGH/cZ+DChHZ4uCZDFwowKa6viqx sH7mLZ13sVVSwqFAA12MY6F1aDpyGFZ+JBbv6CeHUc6p1XbCWcrdoB+TJNUOe5YPHY703lHzvTs5 A8ev+W79PNef8ZBtn9I37LPaX4y5vVleX0BFWuJfGH7xBR0qYar9iW1Qg4EszSQpei6TxM/XiQi1 GCLoqtT/B1Q/AAAA//8DAFBLAQItABQABgAIAAAAIQC2gziS/gAAAOEBAAATAAAAAAAAAAAAAAAA AAAAAABbQ29udGVudF9UeXBlc10ueG1sUEsBAi0AFAAGAAgAAAAhADj9If/WAAAAlAEAAAsAAAAA AAAAAAAAAAAALwEAAF9yZWxzLy5yZWxzUEsBAi0AFAAGAAgAAAAhAPhWs9rOAQAAlQMAAA4AAAAA AAAAAAAAAAAALgIAAGRycy9lMm9Eb2MueG1sUEsBAi0AFAAGAAgAAAAhAOkOtAzaAAAACAEAAA8A AAAAAAAAAAAAAAAAKAQAAGRycy9kb3ducmV2LnhtbFBLBQYAAAAABAAEAPMAAAAvBQAAAAA= " stroked="f">
                <v:textbox>
                  <w:txbxContent>
                    <w:p w14:paraId="5203C19F" w14:textId="77777777" w:rsidR="00115918" w:rsidRDefault="00000000">
                      <w:pPr>
                        <w:jc w:val="center"/>
                        <w:rPr>
                          <w:rFonts w:ascii="Times New Roman" w:hAnsi="Times New Roman"/>
                          <w:b/>
                          <w:bCs/>
                          <w:sz w:val="28"/>
                          <w:szCs w:val="28"/>
                          <w:lang w:val="fr-FR"/>
                        </w:rPr>
                      </w:pPr>
                      <w:r>
                        <w:rPr>
                          <w:rFonts w:ascii="Times New Roman" w:hAnsi="Times New Roman"/>
                          <w:b/>
                          <w:bCs/>
                          <w:sz w:val="28"/>
                          <w:szCs w:val="28"/>
                          <w:lang w:val="fr-FR"/>
                        </w:rPr>
                        <w:t>PORT AUTONOME D’ABIDJAN</w:t>
                      </w:r>
                    </w:p>
                  </w:txbxContent>
                </v:textbox>
              </v:shape>
            </w:pict>
          </mc:Fallback>
        </mc:AlternateContent>
      </w:r>
    </w:p>
    <w:p w14:paraId="19CCCA0B" w14:textId="77777777" w:rsidR="00115918" w:rsidRDefault="00115918"/>
    <w:p w14:paraId="606FC4B0" w14:textId="77777777" w:rsidR="00115918" w:rsidRDefault="00000000">
      <w:r>
        <w:rPr>
          <w:noProof/>
          <w:lang w:val="fr-FR" w:eastAsia="fr-FR"/>
        </w:rPr>
        <mc:AlternateContent>
          <mc:Choice Requires="wps">
            <w:drawing>
              <wp:anchor distT="0" distB="0" distL="114300" distR="114300" simplePos="0" relativeHeight="251661312" behindDoc="0" locked="0" layoutInCell="1" allowOverlap="1" wp14:anchorId="2AFD50B1" wp14:editId="530D6EF1">
                <wp:simplePos x="0" y="0"/>
                <wp:positionH relativeFrom="margin">
                  <wp:align>right</wp:align>
                </wp:positionH>
                <wp:positionV relativeFrom="paragraph">
                  <wp:posOffset>7616</wp:posOffset>
                </wp:positionV>
                <wp:extent cx="5425436" cy="525780"/>
                <wp:effectExtent l="0" t="0" r="3814" b="7620"/>
                <wp:wrapNone/>
                <wp:docPr id="1827121788" name="Zone de texte 11"/>
                <wp:cNvGraphicFramePr/>
                <a:graphic xmlns:a="http://schemas.openxmlformats.org/drawingml/2006/main">
                  <a:graphicData uri="http://schemas.microsoft.com/office/word/2010/wordprocessingShape">
                    <wps:wsp>
                      <wps:cNvSpPr txBox="1"/>
                      <wps:spPr>
                        <a:xfrm>
                          <a:off x="0" y="0"/>
                          <a:ext cx="5425436" cy="525780"/>
                        </a:xfrm>
                        <a:prstGeom prst="rect">
                          <a:avLst/>
                        </a:prstGeom>
                        <a:solidFill>
                          <a:srgbClr val="FFFFFF"/>
                        </a:solidFill>
                        <a:ln>
                          <a:noFill/>
                          <a:prstDash/>
                        </a:ln>
                      </wps:spPr>
                      <wps:txbx>
                        <w:txbxContent>
                          <w:p w14:paraId="147FD181" w14:textId="77777777" w:rsidR="00115918" w:rsidRDefault="00000000">
                            <w:pPr>
                              <w:tabs>
                                <w:tab w:val="left" w:pos="431"/>
                                <w:tab w:val="left" w:pos="862"/>
                                <w:tab w:val="left" w:pos="1293"/>
                                <w:tab w:val="left" w:pos="1730"/>
                                <w:tab w:val="left" w:pos="4610"/>
                                <w:tab w:val="right" w:pos="9072"/>
                              </w:tabs>
                              <w:spacing w:after="120"/>
                              <w:jc w:val="center"/>
                            </w:pPr>
                            <w:r>
                              <w:rPr>
                                <w:rFonts w:ascii="Times New Roman" w:hAnsi="Times New Roman"/>
                                <w:lang w:val="fr-FR"/>
                              </w:rPr>
                              <w:t>DIRECTION DES ETUDES ECONOMIQUES, DE LA STRATEGIE ET DE LA PLANIFICATION</w:t>
                            </w:r>
                          </w:p>
                          <w:p w14:paraId="06950D2C" w14:textId="77777777" w:rsidR="00115918" w:rsidRDefault="00115918"/>
                        </w:txbxContent>
                      </wps:txbx>
                      <wps:bodyPr vert="horz" wrap="square" lIns="91440" tIns="45720" rIns="91440" bIns="45720" anchor="t" anchorCtr="0" compatLnSpc="1">
                        <a:noAutofit/>
                      </wps:bodyPr>
                    </wps:wsp>
                  </a:graphicData>
                </a:graphic>
              </wp:anchor>
            </w:drawing>
          </mc:Choice>
          <mc:Fallback>
            <w:pict>
              <v:shape w14:anchorId="2AFD50B1" id="Zone de texte 11" o:spid="_x0000_s1027" type="#_x0000_t202" style="position:absolute;margin-left:376pt;margin-top:.6pt;width:427.2pt;height:41.4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S1dO1gEAAJwDAAAOAAAAZHJzL2Uyb0RvYy54bWysU8GO0zAQvSPxD5bvNG1Idpeq6Qq2KkJa sUiFD3Acp7HkeMzYbVK+nrFT2gI3RA+uxzMev/fmZfU49oYdFXoNtuKL2ZwzZSU02u4r/u3r9s0D Zz4I2wgDVlX8pDx/XL9+tRrcUuXQgWkUMmpi/XJwFe9CcMss87JTvfAzcMpSsgXsRaAQ91mDYqDu vcny+fwuGwAbhyCV93S6mZJ8nfq3rZLhpW29CsxUnLCFtGJa67hm65VY7lG4TsszDPEPKHqhLT16 abURQbAD6r9a9VoieGjDTEKfQdtqqRIHYrOY/8Fm1wmnEhcSx7uLTP7/tZWfjzv3BVkYP8BIA4yC DM4vPR1GPmOLffwnpIzyJOHpIpsaA5N0WBZ5Wby940xSrszL+4eka3a97dCHjwp6FjcVRxpLUksc n32gF6n0V0l8zIPRzVYbkwLc108G2VHQCLfpF0HSld/KjI3FFuK1NNTYcCN8N9XGdHYlFndhrEem mxvSNTQn0oLsTCA7wB+cDWSNivvvB4GKM/PJkvbvFkURvZSCorzPKcDbTH2bEVZSq4oHzqbtU5j8 RwZwIjzbnZMRwwT//SFAq5MmEeOE6AydLJB4n+0aPXYbp6rrR7X+CQAA//8DAFBLAwQUAAYACAAA ACEAvZm9ptoAAAAFAQAADwAAAGRycy9kb3ducmV2LnhtbEyPzU7DQAyE70i8w8pIXBDdUKU/pNlU gATi2p8HcLJuEjXrjbLbJn17zAluHo818znfTq5TVxpC69nAyywBRVx523Jt4Hj4fF6DChHZYueZ DNwowLa4v8sxs37kHV33sVYSwiFDA02MfaZ1qBpyGGa+Jxbv5AeHUeRQazvgKOGu0/MkWWqHLUtD gz19NFSd9xdn4PQ9Pi1ex/IrHle7dPmO7ar0N2MeH6a3DahIU/w7hl98QYdCmEp/YRtUZ0AeibKd gxJzvUhTUKUMaQK6yPV/+uIHAAD//wMAUEsBAi0AFAAGAAgAAAAhALaDOJL+AAAA4QEAABMAAAAA AAAAAAAAAAAAAAAAAFtDb250ZW50X1R5cGVzXS54bWxQSwECLQAUAAYACAAAACEAOP0h/9YAAACU AQAACwAAAAAAAAAAAAAAAAAvAQAAX3JlbHMvLnJlbHNQSwECLQAUAAYACAAAACEAZktXTtYBAACc AwAADgAAAAAAAAAAAAAAAAAuAgAAZHJzL2Uyb0RvYy54bWxQSwECLQAUAAYACAAAACEAvZm9ptoA AAAFAQAADwAAAAAAAAAAAAAAAAAwBAAAZHJzL2Rvd25yZXYueG1sUEsFBgAAAAAEAAQA8wAAADcF AAAAAA== " stroked="f">
                <v:textbox>
                  <w:txbxContent>
                    <w:p w14:paraId="147FD181" w14:textId="77777777" w:rsidR="00115918" w:rsidRDefault="00000000">
                      <w:pPr>
                        <w:tabs>
                          <w:tab w:val="left" w:pos="431"/>
                          <w:tab w:val="left" w:pos="862"/>
                          <w:tab w:val="left" w:pos="1293"/>
                          <w:tab w:val="left" w:pos="1730"/>
                          <w:tab w:val="left" w:pos="4610"/>
                          <w:tab w:val="right" w:pos="9072"/>
                        </w:tabs>
                        <w:spacing w:after="120"/>
                        <w:jc w:val="center"/>
                      </w:pPr>
                      <w:r>
                        <w:rPr>
                          <w:rFonts w:ascii="Times New Roman" w:hAnsi="Times New Roman"/>
                          <w:lang w:val="fr-FR"/>
                        </w:rPr>
                        <w:t>DIRECTION DES ETUDES ECONOMIQUES, DE LA STRATEGIE ET DE LA PLANIFICATION</w:t>
                      </w:r>
                    </w:p>
                    <w:p w14:paraId="06950D2C" w14:textId="77777777" w:rsidR="00115918" w:rsidRDefault="00115918"/>
                  </w:txbxContent>
                </v:textbox>
                <w10:wrap anchorx="margin"/>
              </v:shape>
            </w:pict>
          </mc:Fallback>
        </mc:AlternateContent>
      </w:r>
    </w:p>
    <w:p w14:paraId="3AD972B9" w14:textId="77777777" w:rsidR="00115918" w:rsidRDefault="00115918"/>
    <w:p w14:paraId="4312F46E" w14:textId="77777777" w:rsidR="00115918" w:rsidRDefault="00000000">
      <w:r>
        <w:rPr>
          <w:noProof/>
        </w:rPr>
        <mc:AlternateContent>
          <mc:Choice Requires="wps">
            <w:drawing>
              <wp:anchor distT="0" distB="0" distL="114300" distR="114300" simplePos="0" relativeHeight="251662336" behindDoc="0" locked="0" layoutInCell="1" allowOverlap="1" wp14:anchorId="4565E8D2" wp14:editId="71A18EE3">
                <wp:simplePos x="0" y="0"/>
                <wp:positionH relativeFrom="column">
                  <wp:posOffset>426082</wp:posOffset>
                </wp:positionH>
                <wp:positionV relativeFrom="paragraph">
                  <wp:posOffset>8257</wp:posOffset>
                </wp:positionV>
                <wp:extent cx="5135883" cy="381003"/>
                <wp:effectExtent l="0" t="0" r="7617" b="0"/>
                <wp:wrapNone/>
                <wp:docPr id="206234743" name="Zone de texte 3"/>
                <wp:cNvGraphicFramePr/>
                <a:graphic xmlns:a="http://schemas.openxmlformats.org/drawingml/2006/main">
                  <a:graphicData uri="http://schemas.microsoft.com/office/word/2010/wordprocessingShape">
                    <wps:wsp>
                      <wps:cNvSpPr txBox="1"/>
                      <wps:spPr>
                        <a:xfrm>
                          <a:off x="0" y="0"/>
                          <a:ext cx="5135883" cy="381003"/>
                        </a:xfrm>
                        <a:prstGeom prst="rect">
                          <a:avLst/>
                        </a:prstGeom>
                        <a:solidFill>
                          <a:srgbClr val="FFFFFF"/>
                        </a:solidFill>
                        <a:ln>
                          <a:noFill/>
                          <a:prstDash/>
                        </a:ln>
                      </wps:spPr>
                      <wps:txbx>
                        <w:txbxContent>
                          <w:p w14:paraId="344AF26A" w14:textId="77777777" w:rsidR="00115918" w:rsidRDefault="00000000">
                            <w:pPr>
                              <w:jc w:val="center"/>
                              <w:rPr>
                                <w:rFonts w:ascii="Times New Roman" w:hAnsi="Times New Roman"/>
                              </w:rPr>
                            </w:pPr>
                            <w:r>
                              <w:rPr>
                                <w:rFonts w:ascii="Times New Roman" w:hAnsi="Times New Roman"/>
                              </w:rPr>
                              <w:t>Département Etudes Economiques et Financières</w:t>
                            </w:r>
                          </w:p>
                        </w:txbxContent>
                      </wps:txbx>
                      <wps:bodyPr vert="horz" wrap="square" lIns="91440" tIns="45720" rIns="91440" bIns="45720" anchor="t" anchorCtr="0" compatLnSpc="1">
                        <a:noAutofit/>
                      </wps:bodyPr>
                    </wps:wsp>
                  </a:graphicData>
                </a:graphic>
              </wp:anchor>
            </w:drawing>
          </mc:Choice>
          <mc:Fallback>
            <w:pict>
              <v:shape w14:anchorId="4565E8D2" id="_x0000_s1028" type="#_x0000_t202" style="position:absolute;margin-left:33.55pt;margin-top:.65pt;width:404.4pt;height:30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ECA61gEAAJwDAAAOAAAAZHJzL2Uyb0RvYy54bWysU9uO0zAQfUfiHyy/0yS9QImarmCrIqQV i1T4ANdxGkuOx4zdJuXrGTvdtsAbIg+OxzM+OXPmZPUwdIadFHoNtuLFJOdMWQm1toeKf/+2fbPk zAdha2HAqoqflecP69evVr0r1RRaMLVCRiDWl72reBuCK7PMy1Z1wk/AKUvJBrATgUI8ZDWKntA7 k03z/G3WA9YOQSrv6XQzJvk64TeNkuG5abwKzFScuIW0Ylr3cc3WK1EeULhWywsN8Q8sOqEtffQK tRFBsCPqv6A6LRE8NGEiocugabRUqQfqpsj/6GbXCqdSLySOd1eZ/P+DlV9OO/cVWRg+wkADjIL0 zpeeDmM/Q4NdfBNTRnmS8HyVTQ2BSTpcFLPFcjnjTFJutizyfBZhsttthz58UtCxuKk40liSWuL0 5MNY+lISP+bB6HqrjUkBHvaPBtlJ0Ai36bmg/1ZmbCy2EK+loUbAjfDtCB/T2a2xuAvDfmC6rvj0 pek91GfSguxMJFvAn5z1ZI2K+x9HgYoz89mS9u+L+Tx6KQXzxbspBXif2d9nhJUEVfHA2bh9DKP/ yABOhCe7czIKP9L/cAzQ6KRJ5DgyulAnCyRVL3aNHruPU9Xtp1r/AgAA//8DAFBLAwQUAAYACAAA ACEA0XWvPtoAAAAHAQAADwAAAGRycy9kb3ducmV2LnhtbEyOQU7DMBBF90jcwRokNog6BZq0IU4F SCC2LT3AJJ4mEfE4it0mvT3DCpbz/tefV2xn16szjaHzbGC5SEAR19523Bg4fL3fr0GFiGyx90wG LhRgW15fFZhbP/GOzvvYKBnhkKOBNsYh1zrULTkMCz8QS3b0o8Mo59hoO+Ik467XD0mSaocdy4cW B3prqf7en5yB4+d0t9pM1Uc8ZLun9BW7rPIXY25v5pdnUJHm+FeGX31Rh1KcKn9iG1RvIM2W0hT+ CEridbbagKqEC9Blof/7lz8AAAD//wMAUEsBAi0AFAAGAAgAAAAhALaDOJL+AAAA4QEAABMAAAAA AAAAAAAAAAAAAAAAAFtDb250ZW50X1R5cGVzXS54bWxQSwECLQAUAAYACAAAACEAOP0h/9YAAACU AQAACwAAAAAAAAAAAAAAAAAvAQAAX3JlbHMvLnJlbHNQSwECLQAUAAYACAAAACEApBAgOtYBAACc AwAADgAAAAAAAAAAAAAAAAAuAgAAZHJzL2Uyb0RvYy54bWxQSwECLQAUAAYACAAAACEA0XWvPtoA AAAHAQAADwAAAAAAAAAAAAAAAAAwBAAAZHJzL2Rvd25yZXYueG1sUEsFBgAAAAAEAAQA8wAAADcF AAAAAA== " stroked="f">
                <v:textbox>
                  <w:txbxContent>
                    <w:p w14:paraId="344AF26A" w14:textId="77777777" w:rsidR="00115918" w:rsidRDefault="00000000">
                      <w:pPr>
                        <w:jc w:val="center"/>
                        <w:rPr>
                          <w:rFonts w:ascii="Times New Roman" w:hAnsi="Times New Roman"/>
                        </w:rPr>
                      </w:pPr>
                      <w:r>
                        <w:rPr>
                          <w:rFonts w:ascii="Times New Roman" w:hAnsi="Times New Roman"/>
                        </w:rPr>
                        <w:t>Département Etudes Economiques et Financières</w:t>
                      </w:r>
                    </w:p>
                  </w:txbxContent>
                </v:textbox>
              </v:shape>
            </w:pict>
          </mc:Fallback>
        </mc:AlternateContent>
      </w:r>
    </w:p>
    <w:p w14:paraId="4937F5E7" w14:textId="77777777" w:rsidR="00115918" w:rsidRDefault="00115918"/>
    <w:p w14:paraId="02E185E0" w14:textId="77777777" w:rsidR="00115918" w:rsidRDefault="00115918"/>
    <w:p w14:paraId="20D98585" w14:textId="77777777" w:rsidR="00115918" w:rsidRDefault="00115918">
      <w:pPr>
        <w:pBdr>
          <w:top w:val="single" w:sz="48" w:space="1" w:color="0E4C74"/>
          <w:bottom w:val="single" w:sz="48" w:space="1" w:color="0E4C74"/>
        </w:pBdr>
        <w:jc w:val="center"/>
        <w:rPr>
          <w:rFonts w:ascii="Times New Roman" w:hAnsi="Times New Roman"/>
          <w:sz w:val="28"/>
          <w:szCs w:val="28"/>
        </w:rPr>
      </w:pPr>
    </w:p>
    <w:p w14:paraId="53E3FA10" w14:textId="77777777" w:rsidR="00115918" w:rsidRDefault="00000000">
      <w:pPr>
        <w:pBdr>
          <w:top w:val="single" w:sz="48" w:space="1" w:color="0E4C74"/>
          <w:bottom w:val="single" w:sz="48" w:space="1" w:color="0E4C74"/>
        </w:pBdr>
        <w:jc w:val="center"/>
      </w:pPr>
      <w:r>
        <w:rPr>
          <w:rFonts w:ascii="Times New Roman" w:hAnsi="Times New Roman"/>
          <w:b/>
          <w:bCs/>
          <w:sz w:val="36"/>
          <w:szCs w:val="36"/>
        </w:rPr>
        <w:t>PITCH</w:t>
      </w:r>
      <w:r>
        <w:t xml:space="preserve"> </w:t>
      </w:r>
      <w:r>
        <w:rPr>
          <w:rFonts w:ascii="Times New Roman" w:hAnsi="Times New Roman"/>
          <w:b/>
          <w:bCs/>
          <w:sz w:val="36"/>
          <w:szCs w:val="36"/>
        </w:rPr>
        <w:t xml:space="preserve"/>
      </w:r>
      <w:r>
        <w:rPr>
          <w:rFonts w:ascii="Times New Roman" w:hAnsi="Times New Roman"/>
          <w:b/>
          <w:bCs/>
          <w:sz w:val="36"/>
          <w:szCs w:val="36"/>
        </w:rPr>
        <w:rPr>
          <w:rFonts w:ascii="Times New Roman" w:cs="Times New Roman" w:eastAsia="Times New Roman" w:hAnsi="Times New Roman"/>
          <w:b/>
          <w:bCs/>
          <w:sz w:val="36"/>
          <w:szCs w:val="36"/>
        </w:rPr>
        <w:t xml:space="preserve">PORTFLOW</w:t>
      </w:r>
      <w:r>
        <w:rPr>
          <w:rFonts w:ascii="Times New Roman" w:hAnsi="Times New Roman"/>
          <w:b/>
          <w:bCs/>
          <w:sz w:val="36"/>
          <w:szCs w:val="36"/>
        </w:rPr>
        <w:t xml:space="preserve"/>
      </w:r>
      <w:r>
        <w:rPr>
          <w:sz w:val="36"/>
          <w:szCs w:val="36"/>
        </w:rPr>
        <w:t xml:space="preserve"> </w:t>
      </w:r>
      <w:r>
        <w:rPr>
          <w:rFonts w:ascii="Times New Roman" w:hAnsi="Times New Roman"/>
          <w:sz w:val="36"/>
          <w:szCs w:val="36"/>
        </w:rPr>
        <w:t xml:space="preserve">· </w:t>
      </w:r>
      <w:r>
        <w:rPr>
          <w:rFonts w:ascii="Times New Roman" w:hAnsi="Times New Roman"/>
          <w:sz w:val="36"/>
          <w:szCs w:val="36"/>
        </w:rPr>
        <w:rPr>
          <w:rFonts w:ascii="Times New Roman" w:cs="Times New Roman" w:eastAsia="Times New Roman" w:hAnsi="Times New Roman"/>
          <w:sz w:val="36"/>
          <w:szCs w:val="36"/>
        </w:rPr>
        <w:t xml:space="preserve">ÉDITION 2026</w:t>
      </w:r>
      <w:r>
        <w:rPr>
          <w:rFonts w:ascii="Times New Roman" w:hAnsi="Times New Roman"/>
          <w:sz w:val="36"/>
          <w:szCs w:val="36"/>
        </w:rPr>
        <w:t xml:space="preserve"/>
      </w:r>
    </w:p>
    <w:p w14:paraId="6BFD11E0" w14:textId="77777777" w:rsidR="00115918" w:rsidRDefault="00115918">
      <w:pPr>
        <w:pBdr>
          <w:top w:val="single" w:sz="48" w:space="1" w:color="0E4C74"/>
          <w:bottom w:val="single" w:sz="48" w:space="1" w:color="0E4C74"/>
        </w:pBdr>
        <w:jc w:val="center"/>
      </w:pPr>
    </w:p>
    <w:p w14:paraId="66A3A4F3" w14:textId="77777777" w:rsidR="00115918" w:rsidRDefault="00000000">
      <w:r>
        <w:rPr>
          <w:rFonts w:ascii="Times New Roman" w:hAnsi="Times New Roman"/>
          <w:b/>
          <w:bCs/>
          <w:noProof/>
          <w:sz w:val="32"/>
          <w:szCs w:val="32"/>
        </w:rPr>
        <mc:AlternateContent>
          <mc:Choice Requires="wps">
            <w:drawing>
              <wp:anchor distT="0" distB="0" distL="114300" distR="114300" simplePos="0" relativeHeight="251664384" behindDoc="0" locked="0" layoutInCell="1" allowOverlap="1" wp14:anchorId="5DF3890F" wp14:editId="62DDE22F">
                <wp:simplePos x="0" y="0"/>
                <wp:positionH relativeFrom="column">
                  <wp:posOffset>-99056</wp:posOffset>
                </wp:positionH>
                <wp:positionV relativeFrom="paragraph">
                  <wp:posOffset>205740</wp:posOffset>
                </wp:positionV>
                <wp:extent cx="6035040" cy="1234440"/>
                <wp:effectExtent l="0" t="0" r="22860" b="22860"/>
                <wp:wrapNone/>
                <wp:docPr id="1315769561" name="Rectangle : coins arrondis 2"/>
                <wp:cNvGraphicFramePr/>
                <a:graphic xmlns:a="http://schemas.openxmlformats.org/drawingml/2006/main">
                  <a:graphicData uri="http://schemas.microsoft.com/office/word/2010/wordprocessingShape">
                    <wps:wsp>
                      <wps:cNvSpPr/>
                      <wps:spPr>
                        <a:xfrm>
                          <a:off x="0" y="0"/>
                          <a:ext cx="6035040" cy="1234440"/>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noFill/>
                        <a:ln w="19046" cap="flat">
                          <a:solidFill>
                            <a:srgbClr val="0E4C74"/>
                          </a:solidFill>
                          <a:prstDash val="solid"/>
                          <a:miter/>
                        </a:ln>
                      </wps:spPr>
                      <wps:bodyPr lIns="0" tIns="0" rIns="0" bIns="0"/>
                    </wps:wsp>
                  </a:graphicData>
                </a:graphic>
              </wp:anchor>
            </w:drawing>
          </mc:Choice>
          <mc:Fallback>
            <w:pict>
              <v:shape w14:anchorId="27821508" id="Rectangle : coins arrondis 2" o:spid="_x0000_s1026" style="position:absolute;margin-left:-7.8pt;margin-top:16.2pt;width:475.2pt;height:97.2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6035040,1234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oThRLAYAAL0UAAAOAAAAZHJzL2Uyb0RvYy54bWysmFtv3DYQhd8L9D8Q+9giWd0vRpygSJqi QNEGSQokj7JW9C6gG0TF6/z7nhlJY0mk+1A0RtZc6+hw+M2QlPjqzWNTq4dqMJeuvT34L72Dqtqy O13a+9vD35/fv8gOyoxFeyrqrq1uD98rc3jz+scfXl37myrozl19qgYFk9bcXPvbw3kc+5vj0ZTn qinMy66vWlzU3dAUI74O98fTUFzh3tTHwPOS47UbTv3QlZUx+Ou76eLhNftrXZXjX1qbalT17QGx jfw58OcdfR5fvypu7oeiP1/KOYziP0TRFJcWnYrVu2Is1LfhYlk1l3LoTKfHl2XXHDutL2XFY8Bo fG83mk/noq94LIBjesFk/j/b8s+HT/2HARiuvbkxaNIoHvXQ0G/Epx4Z1neBVT2OqsQfEy+MvQhM S1zzgzCK8AU+x6fby29m/K3q2Kp4+MOMTOik2qJBKWjcq5sauB+KWoWJt9y+klr3+Ot7fC/z6N+c RTEO1qI4cmrCtcZPUEsOo2gtuu67iddXz/uryfqqMfvL6fqyNQLMmgnNT0cVR34exr7CTxrEXhju rfJFTByjeH/Z33BmZpZkg/VF4EdplIVJlFrCDdp/0Qne4s4oHVk+Qpav2zELW76eWPcLXQDSGbHJ LIi+MO4vrfKU9pR79EL75xeQQRhY/QnjNzdK+yGGpPy9KBDQLIqUjh0iQc2iWOnEIRLMNLwcPbpE whhh6xSiVFkMAgFNTn4OUoE/TzWsVk9TRoCTLgCpZ3Rr8Ow0uVoshD38Zh25WjqbvQU/EPgN8qgD MMOwppVbBhAKfB4AeEFldRcKfValz6g2+IMMQ7Qjxzx8mqM6DMgqs6IS/JSj0KfiQlnuYxf4rOIS dKjW6CnZOkA6La81eKoKp0ioMwaUs1Ml3EmF4J0q2gJkrdIhzR5HWJGA5yGGzlkWCXcWoZzRrcU0 EvCsylhlMY2EPAePyegMS8iziirLFbyQLztDecZodinEUjlTmBY8q4gjQT4JrFU8Etq0MEQBCgWF Z/nEgnuRsXIfTyy8Fxkl2VIJ8EUFMyuyeAs8J+DAuyMQC3D2Qnfu+IX4InPHL8gpyRFPCXtri4U6 qyIuhdyKTNCzKub4rZUy3vOnqbq3Siz6mNKWSNijvylyawNLLPIxOCBrO6qJsF8yhCcBHVuZTCz6 MWXJYpEI/mnjtZKdCHjqMOaJakcl3GcRFkgbg2BfRDFtidZenwj4KSSLVSrQJ4E111MBzj0lz5Re umEeQ+YsvXSDnGSuqZNugM9mFs10h9tazNItbtpqXLM+3QInCSn31ZJukUOWoApQ2buqSgU5A4Mu xkMGinunwzPVam2nLSdx7ITZBn8EWgn9t2o02/BnHTla+c42CWAdkpBYac+sFKQoMKRvPwpJwlIe KeJDAve6bS4QWwrKKK69bpMMWqlTEATTvW6TDdZhHEjlXifZoE0o81ToA6DVbS7JWOZThq4Ba2eX b9IRYxgZ9jXA2uskHdwtPRqmSWhlI5ds0OoJtzyw53ouqSARHgJQdrlVALkkglX8NORQSRoorpwm n2NPziUJrHpmf88lBaxa7e94Tb0/za+XxVkaX76q+9PHSn+Z3k/xwEkt9NUUj9TCyxS9xPZ4DsA7 sAYuhddfHXJS4Vmcv3zld2DxLB/b2R0tVdC5SFieorXNuWSXkTIED+ioD5FvuhxY+lA+o3U73z2r DtZx1A7vKZ55BAPOU+gkRecYN85S+DdOUzRlA+cpGry5yvpiXJhSk4bTdA/V547hjRM75GbD7klR DOXnTl0/wpEerM7cgNyMvxA/TSuOuU5t7HzcZd1u3XEfuU8PKhjFcn3tDUv2pl1x8aZpJt7zcJZ7 +ylyPIhMkfOUd3vTrsbetHuJ9yrubJ5pe2/ImQp37famXWVigkEu3hm1ZybZHHdZd6aaimpKA/wk NWivD2ja7v2lrmeU6oozndyLkOaywLGcrouRK8V09eVEQkqkGe7v3taDwrkDjod+jd5OayqMN7J+ MOO7wpwnHV+aUtZcxmqYwqtR8senIyhq3XWn7x8GVf/e4rwLVMalMSyNu7lBFnQHzsh4As3neXQI t/7OqqdTx9f/AAAA//8DAFBLAwQUAAYACAAAACEAqdBKhd8AAAAKAQAADwAAAGRycy9kb3ducmV2 LnhtbEyPwU7DMBBE70j8g7VI3FonabBKiFNVSHDg1rTcndgkUe11FLtNyteznOC42qeZN+VucZZd zRQGjxLSdQLMYOv1gJ2E0/FttQUWokKtrEcj4WYC7Kr7u1IV2s94MNc6doxCMBRKQh/jWHAe2t44 FdZ+NEi/Lz85FemcOq4nNVO4szxLEsGdGpAaejWa19605/riJIj98TtvAj/b2/whTvPhc6zfUykf H5b9C7BolvgHw68+qUNFTo2/oA7MSlilT4JQCZssB0bA8yanLY2ELBNb4FXJ/0+ofgAAAP//AwBQ SwECLQAUAAYACAAAACEAtoM4kv4AAADhAQAAEwAAAAAAAAAAAAAAAAAAAAAAW0NvbnRlbnRfVHlw ZXNdLnhtbFBLAQItABQABgAIAAAAIQA4/SH/1gAAAJQBAAALAAAAAAAAAAAAAAAAAC8BAABfcmVs cy8ucmVsc1BLAQItABQABgAIAAAAIQCroThRLAYAAL0UAAAOAAAAAAAAAAAAAAAAAC4CAABkcnMv ZTJvRG9jLnhtbFBLAQItABQABgAIAAAAIQCp0EqF3wAAAAoBAAAPAAAAAAAAAAAAAAAAAIYIAABk cnMvZG93bnJldi54bWxQSwUGAAAAAAQABADzAAAAkgkAAAAA " path="m205740,at,,411480,411480,205740,,,205740l,1028700at,822960,411480,1234440,,1028700,205740,1234440l5829300,1234440at5623560,822960,6035040,1234440,5829300,1234440,6035040,1028700l6035040,205740at5623560,,6035040,411480,6035040,205740,5829300,l205740,xe" filled="f" strokecolor="#0e4c74" strokeweight=".52906mm">
                <v:stroke joinstyle="miter"/>
                <v:path arrowok="t" o:connecttype="custom" o:connectlocs="3017520,0;6035040,617220;3017520,1234440;0,617220" o:connectangles="270,0,90,180" textboxrect="60261,60261,5974779,1174179"/>
              </v:shape>
            </w:pict>
          </mc:Fallback>
        </mc:AlternateContent>
      </w:r>
    </w:p>
    <w:p w14:paraId="2EFBF1BE" w14:textId="77777777" w:rsidR="00115918" w:rsidRDefault="00000000">
      <w:pPr>
        <w:ind w:firstLine="708"/>
        <w:jc w:val="center"/>
      </w:pPr>
      <w:r>
        <w:rPr>
          <w:rFonts w:ascii="Times New Roman" w:hAnsi="Times New Roman"/>
          <w:b/>
          <w:bCs/>
          <w:sz w:val="36"/>
          <w:szCs w:val="36"/>
        </w:rPr>
        <w:t>Evaluation du temps de traversée de la zone portuaire</w:t>
      </w:r>
    </w:p>
    <w:p w14:paraId="1275DC58" w14:textId="77777777" w:rsidR="00115918" w:rsidRDefault="00115918">
      <w:pPr>
        <w:pBdr>
          <w:bottom w:val="single" w:sz="48" w:space="31" w:color="0E4C74"/>
        </w:pBdr>
        <w:rPr>
          <w:rFonts w:ascii="Times New Roman" w:hAnsi="Times New Roman"/>
          <w:sz w:val="28"/>
          <w:szCs w:val="28"/>
        </w:rPr>
      </w:pPr>
    </w:p>
    <w:p w14:paraId="4E92D909" w14:textId="77777777" w:rsidR="00115918" w:rsidRDefault="00115918">
      <w:pPr>
        <w:pBdr>
          <w:bottom w:val="single" w:sz="48" w:space="31" w:color="0E4C74"/>
        </w:pBdr>
        <w:rPr>
          <w:rFonts w:ascii="Times New Roman" w:hAnsi="Times New Roman"/>
          <w:sz w:val="28"/>
          <w:szCs w:val="28"/>
        </w:rPr>
      </w:pPr>
    </w:p>
    <w:p w14:paraId="729D0988" w14:textId="77777777" w:rsidR="00115918" w:rsidRDefault="00115918">
      <w:pPr>
        <w:rPr>
          <w:rFonts w:ascii="Times New Roman" w:hAnsi="Times New Roman"/>
          <w:sz w:val="28"/>
          <w:szCs w:val="28"/>
        </w:rPr>
      </w:pPr>
    </w:p>
    <w:p w14:paraId="0D838964" w14:textId="77777777" w:rsidR="00115918" w:rsidRDefault="00115918">
      <w:pPr>
        <w:rPr>
          <w:rFonts w:ascii="Times New Roman" w:hAnsi="Times New Roman"/>
          <w:b/>
          <w:bCs/>
          <w:sz w:val="28"/>
          <w:szCs w:val="28"/>
        </w:rPr>
      </w:pPr>
    </w:p>
    <w:p w14:paraId="0A3A72DC" w14:textId="77777777" w:rsidR="00115918" w:rsidRDefault="00115918">
      <w:pPr>
        <w:pageBreakBefore/>
        <w:rPr>
          <w:rFonts w:ascii="Times New Roman" w:hAnsi="Times New Roman"/>
          <w:b/>
          <w:bCs/>
          <w:sz w:val="28"/>
          <w:szCs w:val="28"/>
        </w:rPr>
      </w:pPr>
    </w:p>
    <w:p w14:paraId="7F5517DE" w14:textId="77777777" w:rsidR="00115918" w:rsidRDefault="00000000">
      <w:pPr>
        <w:pStyle w:val="En-ttedetabledesmatires1"/>
        <w:outlineLvl w:val="9"/>
      </w:pPr>
      <w:r>
        <w:rPr>
          <w:rFonts w:ascii="Times New Roman" w:hAnsi="Times New Roman"/>
          <w:b/>
          <w:bCs/>
          <w:color w:val="0E4C74"/>
          <w:lang w:val="fr-FR"/>
        </w:rPr>
        <w:t>Sommaire</w:t>
      </w:r>
    </w:p>
    <w:p w14:paraId="7E819775" w14:textId="77777777" w:rsidR="00115918" w:rsidRDefault="00115918">
      <w:pPr>
        <w:pStyle w:val="TM2"/>
      </w:pPr>
    </w:p>
    <w:p w14:paraId="4C9C4E6D" w14:textId="77777777" w:rsidR="00115918" w:rsidRDefault="00000000">
      <w:pPr>
        <w:pStyle w:val="TM2"/>
        <w:tabs>
          <w:tab w:val="right" w:leader="dot" w:pos="660"/>
        </w:tabs>
      </w:pPr>
      <w:r>
        <w:fldChar w:fldCharType="begin"/>
        <w:instrText xml:space="preserve"> TOC \o "1-3" \u \h </w:instrText>
        <w:fldChar w:fldCharType="separate"/>
      </w:r>
      <w:hyperlink r:id="rId8" w:history="1">
        <w:r>
          <w:rPr>
            <w:rStyle w:val="Lienhypertexte"/>
          </w:rPr>
          <w:t>INTRODUCTION</w:t>
        </w:r>
        <w:r>
          <w:tab/>
          <w:t>4</w:t>
        </w:r>
      </w:hyperlink>
    </w:p>
    <w:p w14:paraId="23798D3B" w14:textId="77777777" w:rsidR="00115918" w:rsidRDefault="00000000">
      <w:pPr>
        <w:pStyle w:val="TM2"/>
        <w:tabs>
          <w:tab w:val="right" w:leader="dot" w:pos="660"/>
        </w:tabs>
      </w:pPr>
      <w:hyperlink r:id="rId9" w:history="1">
        <w:r>
          <w:rPr>
            <w:rStyle w:val="Lienhypertexte"/>
          </w:rPr>
          <w:t>I.</w:t>
        </w:r>
        <w:r>
          <w:rPr>
            <w:rFonts w:ascii="Calibri" w:eastAsia="Times New Roman" w:hAnsi="Calibri"/>
            <w:b w:val="0"/>
            <w:bCs w:val="0"/>
            <w:kern w:val="3"/>
            <w:sz w:val="24"/>
            <w:szCs w:val="24"/>
            <w:lang w:eastAsia="fr-FR"/>
          </w:rPr>
          <w:tab/>
        </w:r>
        <w:r>
          <w:rPr>
            <w:rStyle w:val="Lienhypertexte"/>
          </w:rPr>
          <w:t>LES DIFFERENTES ZONES CONGESTIONNEES AU PORT D’ABIDJAN</w:t>
        </w:r>
        <w:r>
          <w:tab/>
          <w:t>6</w:t>
        </w:r>
      </w:hyperlink>
    </w:p>
    <w:p w14:paraId="092BDDEA" w14:textId="77777777" w:rsidR="00115918" w:rsidRDefault="00000000">
      <w:pPr>
        <w:pStyle w:val="TM2"/>
        <w:tabs>
          <w:tab w:val="right" w:leader="dot" w:pos="660"/>
        </w:tabs>
      </w:pPr>
      <w:hyperlink r:id="rId10" w:history="1">
        <w:r>
          <w:rPr>
            <w:rStyle w:val="Lienhypertexte"/>
          </w:rPr>
          <w:t>1.</w:t>
        </w:r>
        <w:r>
          <w:rPr>
            <w:rFonts w:ascii="Calibri" w:eastAsia="Times New Roman" w:hAnsi="Calibri"/>
            <w:b w:val="0"/>
            <w:bCs w:val="0"/>
            <w:kern w:val="3"/>
            <w:sz w:val="24"/>
            <w:szCs w:val="24"/>
            <w:lang w:eastAsia="fr-FR"/>
          </w:rPr>
          <w:tab/>
        </w:r>
        <w:r>
          <w:rPr>
            <w:rStyle w:val="Lienhypertexte"/>
          </w:rPr>
          <w:t>Etat des zones congestionnées dans le sens « aller »</w:t>
        </w:r>
        <w:r>
          <w:tab/>
          <w:t>6</w:t>
        </w:r>
      </w:hyperlink>
    </w:p>
    <w:p w14:paraId="72ED0670" w14:textId="77777777" w:rsidR="00115918" w:rsidRDefault="00000000">
      <w:pPr>
        <w:pStyle w:val="TM2"/>
        <w:tabs>
          <w:tab w:val="right" w:leader="dot" w:pos="660"/>
        </w:tabs>
      </w:pPr>
      <w:hyperlink r:id="rId11" w:history="1">
        <w:r>
          <w:rPr>
            <w:rStyle w:val="Lienhypertexte"/>
          </w:rPr>
          <w:t>2.</w:t>
        </w:r>
        <w:r>
          <w:rPr>
            <w:rFonts w:ascii="Calibri" w:eastAsia="Times New Roman" w:hAnsi="Calibri"/>
            <w:b w:val="0"/>
            <w:bCs w:val="0"/>
            <w:kern w:val="3"/>
            <w:sz w:val="24"/>
            <w:szCs w:val="24"/>
            <w:lang w:eastAsia="fr-FR"/>
          </w:rPr>
          <w:tab/>
        </w:r>
        <w:r>
          <w:rPr>
            <w:rStyle w:val="Lienhypertexte"/>
          </w:rPr>
          <w:t>Etat des zones congestionnées dans le sens « retour »</w:t>
        </w:r>
        <w:r>
          <w:tab/>
          <w:t>7</w:t>
        </w:r>
      </w:hyperlink>
    </w:p>
    <w:p w14:paraId="0A1CEBE1" w14:textId="77777777" w:rsidR="00115918" w:rsidRDefault="00000000">
      <w:pPr>
        <w:pStyle w:val="TM2"/>
        <w:tabs>
          <w:tab w:val="right" w:leader="dot" w:pos="660"/>
        </w:tabs>
      </w:pPr>
      <w:hyperlink r:id="rId12" w:history="1">
        <w:r>
          <w:rPr>
            <w:rStyle w:val="Lienhypertexte"/>
          </w:rPr>
          <w:t>II.</w:t>
        </w:r>
        <w:r>
          <w:rPr>
            <w:rFonts w:ascii="Calibri" w:eastAsia="Times New Roman" w:hAnsi="Calibri"/>
            <w:b w:val="0"/>
            <w:bCs w:val="0"/>
            <w:kern w:val="3"/>
            <w:sz w:val="24"/>
            <w:szCs w:val="24"/>
            <w:lang w:eastAsia="fr-FR"/>
          </w:rPr>
          <w:tab/>
        </w:r>
        <w:r>
          <w:rPr>
            <w:rStyle w:val="Lienhypertexte"/>
          </w:rPr>
          <w:t>EVALUATION DU TEMPS DE TRAVERSEE DE LA ZONE PORTUAIRE</w:t>
        </w:r>
        <w:r>
          <w:tab/>
          <w:t>7</w:t>
        </w:r>
      </w:hyperlink>
    </w:p>
    <w:p w14:paraId="1291CD84" w14:textId="77777777" w:rsidR="00115918" w:rsidRDefault="00000000">
      <w:pPr>
        <w:pStyle w:val="TM2"/>
        <w:tabs>
          <w:tab w:val="right" w:leader="dot" w:pos="660"/>
        </w:tabs>
      </w:pPr>
      <w:hyperlink r:id="rId13" w:history="1">
        <w:r>
          <w:rPr>
            <w:rStyle w:val="Lienhypertexte"/>
          </w:rPr>
          <w:t>1.</w:t>
        </w:r>
        <w:r>
          <w:rPr>
            <w:rFonts w:ascii="Calibri" w:eastAsia="Times New Roman" w:hAnsi="Calibri"/>
            <w:b w:val="0"/>
            <w:bCs w:val="0"/>
            <w:kern w:val="3"/>
            <w:sz w:val="24"/>
            <w:szCs w:val="24"/>
            <w:lang w:eastAsia="fr-FR"/>
          </w:rPr>
          <w:tab/>
        </w:r>
        <w:r>
          <w:rPr>
            <w:rStyle w:val="Lienhypertexte"/>
          </w:rPr>
          <w:t>Détermination du temps minimal de traversée</w:t>
        </w:r>
        <w:r>
          <w:tab/>
          <w:t>7</w:t>
        </w:r>
      </w:hyperlink>
    </w:p>
    <w:p w14:paraId="7E85EBF5" w14:textId="77777777" w:rsidR="00115918" w:rsidRDefault="00000000">
      <w:pPr>
        <w:pStyle w:val="TM3"/>
        <w:tabs>
          <w:tab w:val="right" w:leader="dot" w:pos="880"/>
        </w:tabs>
      </w:pPr>
      <w:hyperlink r:id="rId14" w:history="1">
        <w:r>
          <w:rPr>
            <w:rStyle w:val="Lienhypertexte"/>
            <w:rFonts w:ascii="Times New Roman" w:hAnsi="Times New Roman"/>
            <w:b/>
          </w:rPr>
          <w:t>A.</w:t>
        </w:r>
        <w:r>
          <w:rPr>
            <w:rFonts w:eastAsia="Times New Roman"/>
            <w:kern w:val="3"/>
            <w:sz w:val="24"/>
            <w:szCs w:val="24"/>
            <w:lang w:eastAsia="fr-FR"/>
          </w:rPr>
          <w:tab/>
        </w:r>
        <w:r>
          <w:rPr>
            <w:rStyle w:val="Lienhypertexte"/>
            <w:rFonts w:ascii="Times New Roman" w:hAnsi="Times New Roman"/>
            <w:b/>
          </w:rPr>
          <w:t>Axe « CARENA - Pharmacie Palm Beach »</w:t>
        </w:r>
        <w:r>
          <w:tab/>
          <w:t>7</w:t>
        </w:r>
      </w:hyperlink>
    </w:p>
    <w:p w14:paraId="72BA203E" w14:textId="77777777" w:rsidR="00115918" w:rsidRDefault="00000000">
      <w:pPr>
        <w:pStyle w:val="TM3"/>
        <w:tabs>
          <w:tab w:val="right" w:leader="dot" w:pos="880"/>
        </w:tabs>
      </w:pPr>
      <w:hyperlink r:id="rId15" w:history="1">
        <w:r>
          <w:rPr>
            <w:rStyle w:val="Lienhypertexte"/>
            <w:rFonts w:ascii="Times New Roman" w:hAnsi="Times New Roman"/>
            <w:b/>
          </w:rPr>
          <w:t>B.</w:t>
        </w:r>
        <w:r>
          <w:rPr>
            <w:rFonts w:eastAsia="Times New Roman"/>
            <w:kern w:val="3"/>
            <w:sz w:val="24"/>
            <w:szCs w:val="24"/>
            <w:lang w:eastAsia="fr-FR"/>
          </w:rPr>
          <w:tab/>
        </w:r>
        <w:r>
          <w:rPr>
            <w:rStyle w:val="Lienhypertexte"/>
            <w:rFonts w:ascii="Times New Roman" w:hAnsi="Times New Roman"/>
            <w:b/>
          </w:rPr>
          <w:t>Axe « Toyota CFAO - Pharmacie Palm Beach »</w:t>
        </w:r>
        <w:r>
          <w:tab/>
          <w:t>9</w:t>
        </w:r>
      </w:hyperlink>
    </w:p>
    <w:p w14:paraId="6973EFAB" w14:textId="77777777" w:rsidR="00115918" w:rsidRDefault="00000000">
      <w:pPr>
        <w:pStyle w:val="TM3"/>
        <w:tabs>
          <w:tab w:val="right" w:leader="dot" w:pos="880"/>
        </w:tabs>
      </w:pPr>
      <w:hyperlink r:id="rId16" w:history="1">
        <w:r>
          <w:rPr>
            <w:rStyle w:val="Lienhypertexte"/>
            <w:rFonts w:ascii="Times New Roman" w:hAnsi="Times New Roman"/>
            <w:b/>
          </w:rPr>
          <w:t>C.</w:t>
        </w:r>
        <w:r>
          <w:rPr>
            <w:rFonts w:eastAsia="Times New Roman"/>
            <w:kern w:val="3"/>
            <w:sz w:val="24"/>
            <w:szCs w:val="24"/>
            <w:lang w:eastAsia="fr-FR"/>
          </w:rPr>
          <w:tab/>
        </w:r>
        <w:r>
          <w:rPr>
            <w:rStyle w:val="Lienhypertexte"/>
            <w:rFonts w:ascii="Times New Roman" w:hAnsi="Times New Roman"/>
            <w:b/>
          </w:rPr>
          <w:t>Axe « Agence SODECI - Pharmacie Palm Beach »</w:t>
        </w:r>
        <w:r>
          <w:tab/>
          <w:t>10</w:t>
        </w:r>
      </w:hyperlink>
    </w:p>
    <w:p w14:paraId="1FBE6AC9" w14:textId="77777777" w:rsidR="00115918" w:rsidRDefault="00000000">
      <w:pPr>
        <w:pStyle w:val="TM2"/>
        <w:tabs>
          <w:tab w:val="right" w:leader="dot" w:pos="660"/>
        </w:tabs>
      </w:pPr>
      <w:hyperlink r:id="rId17" w:history="1">
        <w:r>
          <w:rPr>
            <w:rStyle w:val="Lienhypertexte"/>
          </w:rPr>
          <w:t>2.</w:t>
        </w:r>
        <w:r>
          <w:rPr>
            <w:rFonts w:ascii="Calibri" w:eastAsia="Times New Roman" w:hAnsi="Calibri"/>
            <w:b w:val="0"/>
            <w:bCs w:val="0"/>
            <w:kern w:val="3"/>
            <w:sz w:val="24"/>
            <w:szCs w:val="24"/>
            <w:lang w:eastAsia="fr-FR"/>
          </w:rPr>
          <w:tab/>
        </w:r>
        <w:r>
          <w:rPr>
            <w:rStyle w:val="Lienhypertexte"/>
          </w:rPr>
          <w:t>Détermination du temps moyen de traversée</w:t>
        </w:r>
        <w:r>
          <w:tab/>
          <w:t>13</w:t>
        </w:r>
      </w:hyperlink>
    </w:p>
    <w:p w14:paraId="67135791" w14:textId="77777777" w:rsidR="00115918" w:rsidRDefault="00000000">
      <w:pPr>
        <w:pStyle w:val="TM3"/>
        <w:tabs>
          <w:tab w:val="right" w:leader="dot" w:pos="880"/>
        </w:tabs>
      </w:pPr>
      <w:hyperlink r:id="rId18" w:history="1">
        <w:r>
          <w:rPr>
            <w:rStyle w:val="Lienhypertexte"/>
            <w:rFonts w:ascii="Times New Roman" w:hAnsi="Times New Roman"/>
            <w:b/>
          </w:rPr>
          <w:t>A.</w:t>
        </w:r>
        <w:r>
          <w:rPr>
            <w:rFonts w:eastAsia="Times New Roman"/>
            <w:kern w:val="3"/>
            <w:sz w:val="24"/>
            <w:szCs w:val="24"/>
            <w:lang w:eastAsia="fr-FR"/>
          </w:rPr>
          <w:tab/>
        </w:r>
        <w:r>
          <w:rPr>
            <w:rStyle w:val="Lienhypertexte"/>
            <w:rFonts w:ascii="Times New Roman" w:hAnsi="Times New Roman"/>
            <w:b/>
          </w:rPr>
          <w:t>Axe « CARENA - Pharmacie Palm Beach »</w:t>
        </w:r>
        <w:r>
          <w:tab/>
          <w:t>13</w:t>
        </w:r>
      </w:hyperlink>
    </w:p>
    <w:p w14:paraId="6C133881" w14:textId="77777777" w:rsidR="00115918" w:rsidRDefault="00000000">
      <w:pPr>
        <w:pStyle w:val="TM3"/>
        <w:tabs>
          <w:tab w:val="right" w:leader="dot" w:pos="880"/>
        </w:tabs>
      </w:pPr>
      <w:hyperlink r:id="rId19" w:history="1">
        <w:r>
          <w:rPr>
            <w:rStyle w:val="Lienhypertexte"/>
            <w:rFonts w:ascii="Times New Roman" w:hAnsi="Times New Roman"/>
            <w:b/>
          </w:rPr>
          <w:t>B.</w:t>
        </w:r>
        <w:r>
          <w:rPr>
            <w:rFonts w:eastAsia="Times New Roman"/>
            <w:kern w:val="3"/>
            <w:sz w:val="24"/>
            <w:szCs w:val="24"/>
            <w:lang w:eastAsia="fr-FR"/>
          </w:rPr>
          <w:tab/>
        </w:r>
        <w:r>
          <w:rPr>
            <w:rStyle w:val="Lienhypertexte"/>
            <w:rFonts w:ascii="Times New Roman" w:hAnsi="Times New Roman"/>
            <w:b/>
          </w:rPr>
          <w:t>Axe « Toyota CFAO - Pharmacie Palm Beach »</w:t>
        </w:r>
        <w:r>
          <w:tab/>
          <w:t>14</w:t>
        </w:r>
      </w:hyperlink>
    </w:p>
    <w:p w14:paraId="386B9D1B" w14:textId="77777777" w:rsidR="00115918" w:rsidRDefault="00000000">
      <w:pPr>
        <w:pStyle w:val="TM3"/>
        <w:tabs>
          <w:tab w:val="right" w:leader="dot" w:pos="880"/>
        </w:tabs>
      </w:pPr>
      <w:hyperlink r:id="rId20" w:history="1">
        <w:r>
          <w:rPr>
            <w:rStyle w:val="Lienhypertexte"/>
            <w:rFonts w:ascii="Times New Roman" w:hAnsi="Times New Roman"/>
            <w:b/>
          </w:rPr>
          <w:t>C.</w:t>
        </w:r>
        <w:r>
          <w:rPr>
            <w:rFonts w:eastAsia="Times New Roman"/>
            <w:kern w:val="3"/>
            <w:sz w:val="24"/>
            <w:szCs w:val="24"/>
            <w:lang w:eastAsia="fr-FR"/>
          </w:rPr>
          <w:tab/>
        </w:r>
        <w:r>
          <w:rPr>
            <w:rStyle w:val="Lienhypertexte"/>
            <w:rFonts w:ascii="Times New Roman" w:hAnsi="Times New Roman"/>
            <w:b/>
          </w:rPr>
          <w:t>Axe « Agence SODECI - Pharmacie Palm Beach »</w:t>
        </w:r>
        <w:r>
          <w:tab/>
          <w:t>15</w:t>
        </w:r>
      </w:hyperlink>
    </w:p>
    <w:p w14:paraId="1376F28C" w14:textId="77777777" w:rsidR="00115918" w:rsidRDefault="00000000">
      <w:pPr>
        <w:pStyle w:val="TM2"/>
        <w:tabs>
          <w:tab w:val="right" w:leader="dot" w:pos="660"/>
        </w:tabs>
      </w:pPr>
      <w:hyperlink r:id="rId21" w:history="1">
        <w:r>
          <w:rPr>
            <w:rStyle w:val="Lienhypertexte"/>
          </w:rPr>
          <w:t>3.</w:t>
        </w:r>
        <w:r>
          <w:rPr>
            <w:rFonts w:ascii="Calibri" w:eastAsia="Times New Roman" w:hAnsi="Calibri"/>
            <w:b w:val="0"/>
            <w:bCs w:val="0"/>
            <w:kern w:val="3"/>
            <w:sz w:val="24"/>
            <w:szCs w:val="24"/>
            <w:lang w:eastAsia="fr-FR"/>
          </w:rPr>
          <w:tab/>
        </w:r>
        <w:r>
          <w:rPr>
            <w:rStyle w:val="Lienhypertexte"/>
          </w:rPr>
          <w:t>Détermination du temps maximal de traversée</w:t>
        </w:r>
        <w:r>
          <w:tab/>
          <w:t>16</w:t>
        </w:r>
      </w:hyperlink>
    </w:p>
    <w:p w14:paraId="5543A140" w14:textId="77777777" w:rsidR="00115918" w:rsidRDefault="00000000">
      <w:pPr>
        <w:pStyle w:val="TM3"/>
        <w:tabs>
          <w:tab w:val="right" w:leader="dot" w:pos="880"/>
        </w:tabs>
      </w:pPr>
      <w:hyperlink r:id="rId22" w:history="1">
        <w:r>
          <w:rPr>
            <w:rStyle w:val="Lienhypertexte"/>
            <w:rFonts w:ascii="Times New Roman" w:hAnsi="Times New Roman"/>
            <w:b/>
          </w:rPr>
          <w:t>A.</w:t>
        </w:r>
        <w:r>
          <w:rPr>
            <w:rFonts w:eastAsia="Times New Roman"/>
            <w:kern w:val="3"/>
            <w:sz w:val="24"/>
            <w:szCs w:val="24"/>
            <w:lang w:eastAsia="fr-FR"/>
          </w:rPr>
          <w:tab/>
        </w:r>
        <w:r>
          <w:rPr>
            <w:rStyle w:val="Lienhypertexte"/>
            <w:rFonts w:ascii="Times New Roman" w:hAnsi="Times New Roman"/>
            <w:b/>
          </w:rPr>
          <w:t>Axe « CARENA - Pharmacie Palm Beach »</w:t>
        </w:r>
        <w:r>
          <w:tab/>
          <w:t>16</w:t>
        </w:r>
      </w:hyperlink>
    </w:p>
    <w:p w14:paraId="1E8DFD87" w14:textId="77777777" w:rsidR="00115918" w:rsidRDefault="00000000">
      <w:pPr>
        <w:pStyle w:val="TM3"/>
        <w:tabs>
          <w:tab w:val="right" w:leader="dot" w:pos="880"/>
        </w:tabs>
      </w:pPr>
      <w:hyperlink r:id="rId23" w:history="1">
        <w:r>
          <w:rPr>
            <w:rStyle w:val="Lienhypertexte"/>
            <w:rFonts w:ascii="Times New Roman" w:hAnsi="Times New Roman"/>
            <w:b/>
          </w:rPr>
          <w:t>B.</w:t>
        </w:r>
        <w:r>
          <w:rPr>
            <w:rFonts w:eastAsia="Times New Roman"/>
            <w:kern w:val="3"/>
            <w:sz w:val="24"/>
            <w:szCs w:val="24"/>
            <w:lang w:eastAsia="fr-FR"/>
          </w:rPr>
          <w:tab/>
        </w:r>
        <w:r>
          <w:rPr>
            <w:rStyle w:val="Lienhypertexte"/>
            <w:rFonts w:ascii="Times New Roman" w:hAnsi="Times New Roman"/>
            <w:b/>
          </w:rPr>
          <w:t>Axe « Toyota CFAO - Pharmacie Palm Beach »</w:t>
        </w:r>
        <w:r>
          <w:tab/>
          <w:t>18</w:t>
        </w:r>
      </w:hyperlink>
    </w:p>
    <w:p w14:paraId="4843DF63" w14:textId="77777777" w:rsidR="00115918" w:rsidRDefault="00000000">
      <w:pPr>
        <w:pStyle w:val="TM3"/>
        <w:tabs>
          <w:tab w:val="right" w:leader="dot" w:pos="880"/>
        </w:tabs>
      </w:pPr>
      <w:hyperlink r:id="rId24" w:history="1">
        <w:r>
          <w:rPr>
            <w:rStyle w:val="Lienhypertexte"/>
            <w:rFonts w:ascii="Times New Roman" w:hAnsi="Times New Roman"/>
            <w:b/>
          </w:rPr>
          <w:t>C.</w:t>
        </w:r>
        <w:r>
          <w:rPr>
            <w:rFonts w:eastAsia="Times New Roman"/>
            <w:kern w:val="3"/>
            <w:sz w:val="24"/>
            <w:szCs w:val="24"/>
            <w:lang w:eastAsia="fr-FR"/>
          </w:rPr>
          <w:tab/>
        </w:r>
        <w:r>
          <w:rPr>
            <w:rStyle w:val="Lienhypertexte"/>
            <w:rFonts w:ascii="Times New Roman" w:hAnsi="Times New Roman"/>
            <w:b/>
          </w:rPr>
          <w:t>Axe « Agence SODECI - Pharmacie Palm Beach »</w:t>
        </w:r>
        <w:r>
          <w:tab/>
          <w:t>19</w:t>
        </w:r>
      </w:hyperlink>
    </w:p>
    <w:p w14:paraId="6EDDAD68" w14:textId="77777777" w:rsidR="00115918" w:rsidRDefault="00000000">
      <w:pPr>
        <w:pStyle w:val="TM2"/>
        <w:tabs>
          <w:tab w:val="right" w:leader="dot" w:pos="660"/>
        </w:tabs>
      </w:pPr>
      <w:hyperlink r:id="rId25" w:history="1">
        <w:r>
          <w:rPr>
            <w:rStyle w:val="Lienhypertexte"/>
          </w:rPr>
          <w:t>CONCLUSION ET RECOMMANDATIONS</w:t>
        </w:r>
        <w:r>
          <w:tab/>
          <w:t>22</w:t>
        </w:r>
      </w:hyperlink>
    </w:p>
    <w:p w14:paraId="495263D2" w14:textId="77777777" w:rsidR="00115918" w:rsidRDefault="00000000">
      <w:pPr>
        <w:pStyle w:val="TM2"/>
        <w:tabs>
          <w:tab w:val="right" w:leader="dot" w:pos="660"/>
        </w:tabs>
      </w:pPr>
      <w:hyperlink r:id="rId26" w:history="1">
        <w:r>
          <w:rPr>
            <w:rStyle w:val="Lienhypertexte"/>
          </w:rPr>
          <w:t>ANNEXES</w:t>
        </w:r>
        <w:r>
          <w:tab/>
        </w:r>
        <w:bookmarkStart w:id="0" w:name="_Hlt234055847"/>
        <w:bookmarkStart w:id="1" w:name="_Hlt234055848"/>
        <w:r>
          <w:t>25</w:t>
        </w:r>
        <w:bookmarkEnd w:id="0"/>
        <w:bookmarkEnd w:id="1"/>
      </w:hyperlink>
    </w:p>
    <w:p w14:paraId="78CC3EA3" w14:textId="77777777" w:rsidR="00115918" w:rsidRDefault="00000000">
      <w:r>
        <w:rPr>
          <w:rFonts w:ascii="Times New Roman" w:hAnsi="Times New Roman"/>
          <w:b/>
          <w:bCs/>
          <w:lang w:val="fr-FR"/>
        </w:rPr>
        <w:fldChar w:fldCharType="end"/>
      </w:r>
    </w:p>
    <w:p>
      <w:r>
        <w:br w:type="page"/>
      </w:r>
    </w:p>
    <w:p>
      <w:pPr>
        <w:pStyle w:val="Titre1"/>
        <w:spacing w:after="200" w:before="360"/>
      </w:pPr>
      <w:r>
        <w:rPr>
          <w:rFonts w:ascii="Garamond" w:cs="Garamond" w:eastAsia="Garamond" w:hAnsi="Garamond"/>
        </w:rPr>
        <w:t xml:space="preserve">PRÉSENTATION ET MODE D’EMPLOI</w:t>
      </w:r>
    </w:p>
    <w:p>
      <w:pPr>
        <w:spacing w:after="140" w:before="0" w:line="276"/>
        <w:jc w:val="both"/>
      </w:pPr>
      <w:r>
        <w:rPr>
          <w:rFonts w:ascii="Garamond" w:cs="Garamond" w:eastAsia="Garamond" w:hAnsi="Garamond"/>
          <w:b w:val="false"/>
          <w:bCs w:val="false"/>
          <w:i w:val="false"/>
          <w:iCs w:val="false"/>
          <w:color w:val="2B2B2B"/>
          <w:sz w:val="24"/>
          <w:szCs w:val="24"/>
        </w:rPr>
        <w:t xml:space="preserve">Ce document est le scénario complet du pitch de présentation de PortFlow. Il est destiné à être répété puis dit à voix haute devant le jury de la compétition et les décideurs du Port Autonome d’Abidjan, en présence de Monsieur le Directeur Général.</w:t>
      </w:r>
    </w:p>
    <w:p>
      <w:pPr>
        <w:spacing w:after="160" w:before="0" w:line="276"/>
        <w:jc w:val="both"/>
      </w:pPr>
      <w:r>
        <w:rPr>
          <w:rFonts w:ascii="Garamond" w:cs="Garamond" w:eastAsia="Garamond" w:hAnsi="Garamond"/>
          <w:b w:val="false"/>
          <w:bCs w:val="false"/>
          <w:i w:val="false"/>
          <w:iCs w:val="false"/>
          <w:color w:val="2B2B2B"/>
          <w:sz w:val="24"/>
          <w:szCs w:val="24"/>
        </w:rPr>
        <w:t xml:space="preserve">L’équipe compte </w:t>
      </w:r>
      <w:r>
        <w:rPr>
          <w:rFonts w:ascii="Garamond" w:cs="Garamond" w:eastAsia="Garamond" w:hAnsi="Garamond"/>
          <w:b/>
          <w:bCs/>
          <w:i w:val="false"/>
          <w:iCs w:val="false"/>
          <w:color w:val="2B2B2B"/>
          <w:sz w:val="24"/>
          <w:szCs w:val="24"/>
        </w:rPr>
        <w:t xml:space="preserve">quatre intervenants</w:t>
      </w:r>
      <w:r>
        <w:rPr>
          <w:rFonts w:ascii="Garamond" w:cs="Garamond" w:eastAsia="Garamond" w:hAnsi="Garamond"/>
          <w:b w:val="false"/>
          <w:bCs w:val="false"/>
          <w:i w:val="false"/>
          <w:iCs w:val="false"/>
          <w:color w:val="2B2B2B"/>
          <w:sz w:val="24"/>
          <w:szCs w:val="24"/>
        </w:rPr>
        <w:t xml:space="preserve">. Le pitch dure environ </w:t>
      </w:r>
      <w:r>
        <w:rPr>
          <w:rFonts w:ascii="Garamond" w:cs="Garamond" w:eastAsia="Garamond" w:hAnsi="Garamond"/>
          <w:b/>
          <w:bCs/>
          <w:i w:val="false"/>
          <w:iCs w:val="false"/>
          <w:color w:val="2B2B2B"/>
          <w:sz w:val="24"/>
          <w:szCs w:val="24"/>
        </w:rPr>
        <w:t xml:space="preserve">28 minutes</w:t>
      </w:r>
      <w:r>
        <w:rPr>
          <w:rFonts w:ascii="Garamond" w:cs="Garamond" w:eastAsia="Garamond" w:hAnsi="Garamond"/>
          <w:b w:val="false"/>
          <w:bCs w:val="false"/>
          <w:i w:val="false"/>
          <w:iCs w:val="false"/>
          <w:color w:val="2B2B2B"/>
          <w:sz w:val="24"/>
          <w:szCs w:val="24"/>
        </w:rPr>
        <w:t xml:space="preserve"> dans sa version confortable ; pour tenir 20 minutes, on coupe les passages signalés « option ». Les paragraphes en </w:t>
      </w:r>
      <w:r>
        <w:rPr>
          <w:rFonts w:ascii="Garamond" w:cs="Garamond" w:eastAsia="Garamond" w:hAnsi="Garamond"/>
          <w:b w:val="false"/>
          <w:bCs w:val="false"/>
          <w:i/>
          <w:iCs/>
          <w:color w:val="595959"/>
          <w:sz w:val="24"/>
          <w:szCs w:val="24"/>
        </w:rPr>
        <w:t xml:space="preserve">gris italique</w:t>
      </w:r>
      <w:r>
        <w:rPr>
          <w:rFonts w:ascii="Garamond" w:cs="Garamond" w:eastAsia="Garamond" w:hAnsi="Garamond"/>
          <w:b w:val="false"/>
          <w:bCs w:val="false"/>
          <w:i w:val="false"/>
          <w:iCs w:val="false"/>
          <w:color w:val="2B2B2B"/>
          <w:sz w:val="24"/>
          <w:szCs w:val="24"/>
        </w:rPr>
        <w:t xml:space="preserve"> sont des notes de scène : elles ne se disent pas, elles se jouent. Les encadrés bleus marquent les passages de témoin entre intervenants.</w:t>
      </w:r>
    </w:p>
    <w:p>
      <w:pPr>
        <w:pStyle w:val="Titre2"/>
        <w:spacing w:after="160" w:before="280"/>
      </w:pPr>
      <w:r>
        <w:rPr>
          <w:rFonts w:ascii="Garamond" w:cs="Garamond" w:eastAsia="Garamond" w:hAnsi="Garamond"/>
        </w:rPr>
        <w:t xml:space="preserve">Répartition des quatre intervenants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3872"/>
        <w:gridCol w:w="1900"/>
        <w:gridCol w:w="1400"/>
      </w:tblGrid>
      <w:tr>
        <w:trPr>
          <w:tblHeader/>
        </w:trPr>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Intervenant</w:t>
            </w:r>
          </w:p>
        </w:tc>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Rôle</w:t>
            </w:r>
          </w:p>
        </w:tc>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Séquences</w:t>
            </w:r>
          </w:p>
        </w:tc>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Durée</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1 — L’accroche</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Plante le décor, pose le problème, annonce PortFlow</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1 · 2 · 3</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~7 min</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2 — La démo</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Prend l’écran, fait vivre le tableau de bord</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4</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~7 min</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3 — La technique</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Donne la crédibilité : architecture, modèle, assistant IA</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5 · 6</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~7 min</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4 — Le closer</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Parle au Directeur, projette la vision, referme la boucle</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7 · 8 · 9 · 10</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~8 min</w:t>
            </w:r>
          </w:p>
        </w:tc>
      </w:tr>
    </w:tbl>
    <w:p>
      <w:pPr>
        <w:spacing w:after="80" w:before="0" w:line="276"/>
        <w:jc w:val="both"/>
      </w:pPr>
      <w:r>
        <w:rPr>
          <w:rFonts w:ascii="Garamond" w:cs="Garamond" w:eastAsia="Garamond" w:hAnsi="Garamond"/>
          <w:b w:val="false"/>
          <w:bCs w:val="false"/>
          <w:i w:val="false"/>
          <w:iCs w:val="false"/>
          <w:color w:val="2B2B2B"/>
          <w:sz w:val="24"/>
          <w:szCs w:val="24"/>
        </w:rPr>
        <w:t xml:space="preserve"/>
      </w:r>
    </w:p>
    <w:p>
      <w:pPr>
        <w:pStyle w:val="Titre2"/>
        <w:spacing w:after="160" w:before="280"/>
      </w:pPr>
      <w:r>
        <w:rPr>
          <w:rFonts w:ascii="Garamond" w:cs="Garamond" w:eastAsia="Garamond" w:hAnsi="Garamond"/>
        </w:rPr>
        <w:t xml:space="preserve">Repères de timing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4572"/>
        <w:gridCol w:w="900"/>
        <w:gridCol w:w="1500"/>
        <w:gridCol w:w="1500"/>
      </w:tblGrid>
      <w:tr>
        <w:trPr>
          <w:tblHeader/>
        </w:trPr>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w:t>
            </w:r>
          </w:p>
        </w:tc>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Séquence</w:t>
            </w:r>
          </w:p>
        </w:tc>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Voix</w:t>
            </w:r>
          </w:p>
        </w:tc>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Durée</w:t>
            </w:r>
          </w:p>
        </w:tc>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Cumul</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bCs/>
                <w:color w:val="2B2B2B"/>
                <w:sz w:val="22"/>
                <w:szCs w:val="22"/>
              </w:rPr>
              <w:t xml:space="preserve">1</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Ouverture — la scène</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1</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 min</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bCs/>
                <w:color w:val="2B2B2B"/>
                <w:sz w:val="22"/>
                <w:szCs w:val="22"/>
              </w:rPr>
              <w:t xml:space="preserve">2</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Le problème</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1</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3 min</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5</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bCs/>
                <w:color w:val="2B2B2B"/>
                <w:sz w:val="22"/>
                <w:szCs w:val="22"/>
              </w:rPr>
              <w:t xml:space="preserve">3</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La vision : PortFlow en une phrase</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1</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 min</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7</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bCs/>
                <w:color w:val="2B2B2B"/>
                <w:sz w:val="22"/>
                <w:szCs w:val="22"/>
              </w:rPr>
              <w:t xml:space="preserve">4</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Démo — le produit qui vit</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7 min</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14</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bCs/>
                <w:color w:val="2B2B2B"/>
                <w:sz w:val="22"/>
                <w:szCs w:val="22"/>
              </w:rPr>
              <w:t xml:space="preserve">5</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Sous le capot — la crédibilité</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3</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4 min</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18</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bCs/>
                <w:color w:val="2B2B2B"/>
                <w:sz w:val="22"/>
                <w:szCs w:val="22"/>
              </w:rPr>
              <w:t xml:space="preserve">6</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L’intelligence : prédiction + assistant IA</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3</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3 min</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21</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bCs/>
                <w:color w:val="2B2B2B"/>
                <w:sz w:val="22"/>
                <w:szCs w:val="22"/>
              </w:rPr>
              <w:t xml:space="preserve">7</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Gouvernance : rapports &amp; administration</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4</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 min</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23</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bCs/>
                <w:color w:val="2B2B2B"/>
                <w:sz w:val="22"/>
                <w:szCs w:val="22"/>
              </w:rPr>
              <w:t xml:space="preserve">8</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L’impact pour le Port</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4</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3 min</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26</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bCs/>
                <w:color w:val="2B2B2B"/>
                <w:sz w:val="22"/>
                <w:szCs w:val="22"/>
              </w:rPr>
              <w:t xml:space="preserve">9</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Perspectives</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4</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 min</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28</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bCs/>
                <w:color w:val="2B2B2B"/>
                <w:sz w:val="22"/>
                <w:szCs w:val="22"/>
              </w:rPr>
              <w:t xml:space="preserve">10</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Clôture &amp; appel à décision</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4</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 min</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~30</w:t>
            </w:r>
          </w:p>
        </w:tc>
      </w:tr>
    </w:tbl>
    <w:p>
      <w:pPr>
        <w:pStyle w:val="Titre1"/>
        <w:spacing w:after="200" w:before="360"/>
      </w:pPr>
      <w:r>
        <w:rPr>
          <w:rFonts w:ascii="Garamond" w:cs="Garamond" w:eastAsia="Garamond" w:hAnsi="Garamond"/>
        </w:rPr>
        <w:t xml:space="preserve">SÉQUENCE 1 — OUVERTURE : LA SCÈNE</w:t>
      </w:r>
    </w:p>
    <w:p>
      <w:pPr>
        <w:spacing w:after="140" w:before="0" w:line="276"/>
        <w:jc w:val="left"/>
      </w:pPr>
      <w:r>
        <w:rPr>
          <w:rFonts w:ascii="Garamond" w:cs="Garamond" w:eastAsia="Garamond" w:hAnsi="Garamond"/>
          <w:b w:val="false"/>
          <w:bCs w:val="false"/>
          <w:i/>
          <w:iCs/>
          <w:color w:val="1A6FA8"/>
          <w:sz w:val="22"/>
          <w:szCs w:val="22"/>
        </w:rPr>
        <w:t xml:space="preserve">2 minutes · Intervenant 1</w:t>
      </w:r>
    </w:p>
    <w:p>
      <w:pPr>
        <w:spacing w:after="120" w:before="0" w:line="276"/>
        <w:jc w:val="left"/>
      </w:pPr>
      <w:r>
        <w:rPr>
          <w:rFonts w:ascii="Garamond" w:cs="Garamond" w:eastAsia="Garamond" w:hAnsi="Garamond"/>
          <w:b w:val="false"/>
          <w:bCs w:val="false"/>
          <w:i/>
          <w:iCs/>
          <w:color w:val="595959"/>
          <w:sz w:val="20"/>
          <w:szCs w:val="20"/>
        </w:rPr>
        <w:t xml:space="preserve">[Accueil bref, debout, posé. Puis un silence, et on plonge dans la scène. Ne pas enchaîner sur « je vais vous présenter » — l’image d’abord.]</w:t>
      </w:r>
    </w:p>
    <w:p>
      <w:pPr>
        <w:spacing w:after="140" w:before="0" w:line="276"/>
        <w:jc w:val="both"/>
      </w:pPr>
      <w:r>
        <w:rPr>
          <w:rFonts w:ascii="Garamond" w:cs="Garamond" w:eastAsia="Garamond" w:hAnsi="Garamond"/>
          <w:b w:val="false"/>
          <w:bCs w:val="false"/>
          <w:i w:val="false"/>
          <w:iCs w:val="false"/>
          <w:color w:val="2B2B2B"/>
          <w:sz w:val="24"/>
          <w:szCs w:val="24"/>
        </w:rPr>
        <w:t xml:space="preserve">Monsieur le Directeur Général, mesdames et messieurs les membres du jury, bonjour. Nous sommes l’équipe derrière PortFlow, et avant de vous montrer quoi que ce soit, nous aimerions vous emmener quelque part.</w:t>
      </w:r>
    </w:p>
    <w:p>
      <w:pPr>
        <w:spacing w:after="120" w:before="0" w:line="276"/>
        <w:jc w:val="left"/>
      </w:pPr>
      <w:r>
        <w:rPr>
          <w:rFonts w:ascii="Garamond" w:cs="Garamond" w:eastAsia="Garamond" w:hAnsi="Garamond"/>
          <w:b w:val="false"/>
          <w:bCs w:val="false"/>
          <w:i/>
          <w:iCs/>
          <w:color w:val="595959"/>
          <w:sz w:val="20"/>
          <w:szCs w:val="20"/>
        </w:rPr>
        <w:t xml:space="preserve">[Un temps. Puis, plus lentement :]</w:t>
      </w:r>
    </w:p>
    <w:p>
      <w:pPr>
        <w:spacing w:after="140" w:before="0" w:line="276"/>
        <w:jc w:val="both"/>
      </w:pPr>
      <w:r>
        <w:rPr>
          <w:rFonts w:ascii="Garamond" w:cs="Garamond" w:eastAsia="Garamond" w:hAnsi="Garamond"/>
          <w:b w:val="false"/>
          <w:bCs w:val="false"/>
          <w:i w:val="false"/>
          <w:iCs w:val="false"/>
          <w:color w:val="2B2B2B"/>
          <w:sz w:val="24"/>
          <w:szCs w:val="24"/>
        </w:rPr>
        <w:t xml:space="preserve">Il est 7 h 40 du matin. Un camion sort du terminal à conteneurs, chargé. Le chauffeur a une seule chose en tête : rejoindre la pharmacie de Palm Beach, à Vridi, et ressortir de la zone portuaire avant que tout ne se fige.</w:t>
      </w:r>
    </w:p>
    <w:p>
      <w:pPr>
        <w:spacing w:after="140" w:before="0" w:line="276"/>
        <w:jc w:val="both"/>
      </w:pPr>
      <w:r>
        <w:rPr>
          <w:rFonts w:ascii="Garamond" w:cs="Garamond" w:eastAsia="Garamond" w:hAnsi="Garamond"/>
          <w:b w:val="false"/>
          <w:bCs w:val="false"/>
          <w:i w:val="false"/>
          <w:iCs w:val="false"/>
          <w:color w:val="2B2B2B"/>
          <w:sz w:val="24"/>
          <w:szCs w:val="24"/>
        </w:rPr>
        <w:t xml:space="preserve">Sur le papier, son trajet depuis CARENA fait onze kilomètres et devrait lui prendre vingt-sept minutes.</w:t>
      </w:r>
    </w:p>
    <w:p>
      <w:pPr>
        <w:spacing w:after="140" w:before="0" w:line="276"/>
        <w:jc w:val="both"/>
      </w:pPr>
      <w:r>
        <w:rPr>
          <w:rFonts w:ascii="Garamond" w:cs="Garamond" w:eastAsia="Garamond" w:hAnsi="Garamond"/>
          <w:b w:val="false"/>
          <w:bCs w:val="false"/>
          <w:i w:val="false"/>
          <w:iCs w:val="false"/>
          <w:color w:val="2B2B2B"/>
          <w:sz w:val="24"/>
          <w:szCs w:val="24"/>
        </w:rPr>
        <w:t xml:space="preserve">Ce matin, il en mettra cinquante.</w:t>
      </w:r>
    </w:p>
    <w:p>
      <w:pPr>
        <w:spacing w:after="120" w:before="0" w:line="276"/>
        <w:jc w:val="left"/>
      </w:pPr>
      <w:r>
        <w:rPr>
          <w:rFonts w:ascii="Garamond" w:cs="Garamond" w:eastAsia="Garamond" w:hAnsi="Garamond"/>
          <w:b w:val="false"/>
          <w:bCs w:val="false"/>
          <w:i/>
          <w:iCs/>
          <w:color w:val="595959"/>
          <w:sz w:val="20"/>
          <w:szCs w:val="20"/>
        </w:rPr>
        <w:t xml:space="preserve">[Marquez un temps.]</w:t>
      </w:r>
    </w:p>
    <w:p>
      <w:pPr>
        <w:spacing w:after="140" w:before="0" w:line="276"/>
        <w:jc w:val="both"/>
      </w:pPr>
      <w:r>
        <w:rPr>
          <w:rFonts w:ascii="Garamond" w:cs="Garamond" w:eastAsia="Garamond" w:hAnsi="Garamond"/>
          <w:b w:val="false"/>
          <w:bCs w:val="false"/>
          <w:i w:val="false"/>
          <w:iCs w:val="false"/>
          <w:color w:val="2B2B2B"/>
          <w:sz w:val="24"/>
          <w:szCs w:val="24"/>
        </w:rPr>
        <w:t xml:space="preserve">Personne, dans cette salle, ne l’a vu venir. Ni lui, ni le poste de commandement, ni les transporteurs qui s’apprêtent à envoyer dix autres camions sur le même axe. L’information existait — elle était simplement invisible.</w:t>
      </w:r>
    </w:p>
    <w:p>
      <w:pPr>
        <w:spacing w:after="180" w:before="60" w:line="276"/>
        <w:jc w:val="left"/>
      </w:pPr>
      <w:r>
        <w:rPr>
          <w:rFonts w:ascii="Garamond" w:cs="Garamond" w:eastAsia="Garamond" w:hAnsi="Garamond"/>
          <w:b/>
          <w:bCs/>
          <w:i w:val="false"/>
          <w:iCs w:val="false"/>
          <w:color w:val="0E4C74"/>
          <w:sz w:val="26"/>
          <w:szCs w:val="26"/>
        </w:rPr>
        <w:t xml:space="preserve">Le trafic du Port d’Abidjan n’a pas un problème de routes. Il a un problème de visibilité.</w:t>
      </w:r>
    </w:p>
    <w:p>
      <w:pPr>
        <w:spacing w:after="140" w:before="0" w:line="276"/>
        <w:jc w:val="both"/>
      </w:pPr>
      <w:r>
        <w:rPr>
          <w:rFonts w:ascii="Garamond" w:cs="Garamond" w:eastAsia="Garamond" w:hAnsi="Garamond"/>
          <w:b w:val="false"/>
          <w:bCs w:val="false"/>
          <w:i w:val="false"/>
          <w:iCs w:val="false"/>
          <w:color w:val="2B2B2B"/>
          <w:sz w:val="24"/>
          <w:szCs w:val="24"/>
        </w:rPr>
        <w:t xml:space="preserve">Et c’est exactement ce que nous avons construit : une paire d’yeux, en temps réel, sur les artères du Port. Ça s’appelle PortFlow.</w:t>
      </w:r>
    </w:p>
    <w:p>
      <w:pPr>
        <w:pStyle w:val="Titre1"/>
        <w:spacing w:after="200" w:before="360"/>
      </w:pPr>
      <w:r>
        <w:rPr>
          <w:rFonts w:ascii="Garamond" w:cs="Garamond" w:eastAsia="Garamond" w:hAnsi="Garamond"/>
        </w:rPr>
        <w:t xml:space="preserve">SÉQUENCE 2 — LE PROBLÈME</w:t>
      </w:r>
    </w:p>
    <w:p>
      <w:pPr>
        <w:spacing w:after="140" w:before="0" w:line="276"/>
        <w:jc w:val="left"/>
      </w:pPr>
      <w:r>
        <w:rPr>
          <w:rFonts w:ascii="Garamond" w:cs="Garamond" w:eastAsia="Garamond" w:hAnsi="Garamond"/>
          <w:b w:val="false"/>
          <w:bCs w:val="false"/>
          <w:i/>
          <w:iCs/>
          <w:color w:val="1A6FA8"/>
          <w:sz w:val="22"/>
          <w:szCs w:val="22"/>
        </w:rPr>
        <w:t xml:space="preserve">3 minutes · Intervenant 1</w:t>
      </w:r>
    </w:p>
    <w:p>
      <w:pPr>
        <w:spacing w:after="140" w:before="0" w:line="276"/>
        <w:jc w:val="both"/>
      </w:pPr>
      <w:r>
        <w:rPr>
          <w:rFonts w:ascii="Garamond" w:cs="Garamond" w:eastAsia="Garamond" w:hAnsi="Garamond"/>
          <w:b w:val="false"/>
          <w:bCs w:val="false"/>
          <w:i w:val="false"/>
          <w:iCs w:val="false"/>
          <w:color w:val="2B2B2B"/>
          <w:sz w:val="24"/>
          <w:szCs w:val="24"/>
        </w:rPr>
        <w:t xml:space="preserve">Prenons la mesure de ce qui se joue. Le Port Autonome d’Abidjan, c’est le poumon économique de la Côte d’Ivoire et de tout l’hinterland — le Mali, le Burkina, le Niger passent par ici. Chaque conteneur qui reste bloqué dans un embouteillage, c’est du temps machine, du carburant, des pénalités, et au bout de la chaîne, un prix qui monte.</w:t>
      </w:r>
    </w:p>
    <w:p>
      <w:pPr>
        <w:spacing w:after="140" w:before="0" w:line="276"/>
        <w:jc w:val="both"/>
      </w:pPr>
      <w:r>
        <w:rPr>
          <w:rFonts w:ascii="Garamond" w:cs="Garamond" w:eastAsia="Garamond" w:hAnsi="Garamond"/>
          <w:b w:val="false"/>
          <w:bCs w:val="false"/>
          <w:i w:val="false"/>
          <w:iCs w:val="false"/>
          <w:color w:val="2B2B2B"/>
          <w:sz w:val="24"/>
          <w:szCs w:val="24"/>
        </w:rPr>
        <w:t xml:space="preserve">Or aujourd’hui, comment sait-on qu’un axe est saturé ? Par un appel radio. Par un agent qui le voit de ses yeux. Ou, le plus souvent… une fois qu’on est déjà dedans.</w:t>
      </w:r>
    </w:p>
    <w:p>
      <w:pPr>
        <w:spacing w:after="160" w:before="0" w:line="276"/>
        <w:jc w:val="both"/>
      </w:pPr>
      <w:r>
        <w:rPr>
          <w:rFonts w:ascii="Garamond" w:cs="Garamond" w:eastAsia="Garamond" w:hAnsi="Garamond"/>
          <w:b w:val="false"/>
          <w:bCs w:val="false"/>
          <w:i w:val="false"/>
          <w:iCs w:val="false"/>
          <w:color w:val="2B2B2B"/>
          <w:sz w:val="24"/>
          <w:szCs w:val="24"/>
        </w:rPr>
        <w:t xml:space="preserve">Le problème n’est pas le manque de données — TomTom, Google, les opérateurs télécoms mesurent déjà la vitesse du trafic en permanence. Le problème, c’est que </w:t>
      </w:r>
      <w:r>
        <w:rPr>
          <w:rFonts w:ascii="Garamond" w:cs="Garamond" w:eastAsia="Garamond" w:hAnsi="Garamond"/>
          <w:b/>
          <w:bCs/>
          <w:i w:val="false"/>
          <w:iCs w:val="false"/>
          <w:color w:val="2B2B2B"/>
          <w:sz w:val="24"/>
          <w:szCs w:val="24"/>
        </w:rPr>
        <w:t xml:space="preserve">cette donnée n’arrive jamais, sous une forme exploitable, jusqu’à la personne qui décide.</w:t>
      </w:r>
    </w:p>
    <w:p>
      <w:pPr>
        <w:spacing w:after="140" w:before="0" w:line="276"/>
        <w:jc w:val="both"/>
      </w:pPr>
      <w:r>
        <w:rPr>
          <w:rFonts w:ascii="Garamond" w:cs="Garamond" w:eastAsia="Garamond" w:hAnsi="Garamond"/>
          <w:b w:val="false"/>
          <w:bCs w:val="false"/>
          <w:i w:val="false"/>
          <w:iCs w:val="false"/>
          <w:color w:val="2B2B2B"/>
          <w:sz w:val="24"/>
          <w:szCs w:val="24"/>
        </w:rPr>
        <w:t xml:space="preserve">Résultat, on subit la congestion au lieu de l’anticiper. On réagit quand il faudrait prévoir. Et chaque décision — dérouter, temporiser, prioriser un convoi — se prend à l’aveugle.</w:t>
      </w:r>
    </w:p>
    <w:p>
      <w:pPr>
        <w:spacing w:after="120" w:before="0" w:line="276"/>
        <w:jc w:val="left"/>
      </w:pPr>
      <w:r>
        <w:rPr>
          <w:rFonts w:ascii="Garamond" w:cs="Garamond" w:eastAsia="Garamond" w:hAnsi="Garamond"/>
          <w:b w:val="false"/>
          <w:bCs w:val="false"/>
          <w:i/>
          <w:iCs/>
          <w:color w:val="595959"/>
          <w:sz w:val="20"/>
          <w:szCs w:val="20"/>
        </w:rPr>
        <w:t xml:space="preserve">〈option〉 Et ce coût est silencieux : il ne se voit pas sur une facture unique, il se dilue en milliers de minutes perdues, jour après jour. C’est précisément ce genre de coût invisible qui est le plus difficile à combattre… tant qu’on ne le rend pas visible. 〈/option〉</w:t>
      </w:r>
    </w:p>
    <w:p>
      <w:pPr>
        <w:spacing w:after="140" w:before="0" w:line="276"/>
        <w:jc w:val="both"/>
      </w:pPr>
      <w:r>
        <w:rPr>
          <w:rFonts w:ascii="Garamond" w:cs="Garamond" w:eastAsia="Garamond" w:hAnsi="Garamond"/>
          <w:b w:val="false"/>
          <w:bCs w:val="false"/>
          <w:i w:val="false"/>
          <w:iCs w:val="false"/>
          <w:color w:val="2B2B2B"/>
          <w:sz w:val="24"/>
          <w:szCs w:val="24"/>
        </w:rPr>
        <w:t xml:space="preserve">La question que nous nous sommes posée est simple : et si le Port disposait, en permanence, d’une carte vivante de sa propre congestion — accessible depuis un simple navigateur ?</w:t>
      </w:r>
    </w:p>
    <w:p>
      <w:pPr>
        <w:pStyle w:val="Titre1"/>
        <w:spacing w:after="200" w:before="360"/>
      </w:pPr>
      <w:r>
        <w:rPr>
          <w:rFonts w:ascii="Garamond" w:cs="Garamond" w:eastAsia="Garamond" w:hAnsi="Garamond"/>
        </w:rPr>
        <w:t xml:space="preserve">SÉQUENCE 3 — LA VISION : PORTFLOW EN UNE PHRASE</w:t>
      </w:r>
    </w:p>
    <w:p>
      <w:pPr>
        <w:spacing w:after="140" w:before="0" w:line="276"/>
        <w:jc w:val="left"/>
      </w:pPr>
      <w:r>
        <w:rPr>
          <w:rFonts w:ascii="Garamond" w:cs="Garamond" w:eastAsia="Garamond" w:hAnsi="Garamond"/>
          <w:b w:val="false"/>
          <w:bCs w:val="false"/>
          <w:i/>
          <w:iCs/>
          <w:color w:val="1A6FA8"/>
          <w:sz w:val="22"/>
          <w:szCs w:val="22"/>
        </w:rPr>
        <w:t xml:space="preserve">2 minutes · Intervenant 1</w:t>
      </w:r>
    </w:p>
    <w:p>
      <w:pPr>
        <w:spacing w:after="140" w:before="0" w:line="276"/>
        <w:jc w:val="both"/>
      </w:pPr>
      <w:r>
        <w:rPr>
          <w:rFonts w:ascii="Garamond" w:cs="Garamond" w:eastAsia="Garamond" w:hAnsi="Garamond"/>
          <w:b w:val="false"/>
          <w:bCs w:val="false"/>
          <w:i w:val="false"/>
          <w:iCs w:val="false"/>
          <w:color w:val="2B2B2B"/>
          <w:sz w:val="24"/>
          <w:szCs w:val="24"/>
        </w:rPr>
        <w:t xml:space="preserve">PortFlow, c’est le tableau de bord temps réel du trafic des axes stratégiques du Port d’Abidjan.</w:t>
      </w:r>
    </w:p>
    <w:p>
      <w:pPr>
        <w:spacing w:after="180" w:before="60" w:line="276"/>
        <w:jc w:val="left"/>
      </w:pPr>
      <w:r>
        <w:rPr>
          <w:rFonts w:ascii="Garamond" w:cs="Garamond" w:eastAsia="Garamond" w:hAnsi="Garamond"/>
          <w:b/>
          <w:bCs/>
          <w:i w:val="false"/>
          <w:iCs w:val="false"/>
          <w:color w:val="0E4C74"/>
          <w:sz w:val="26"/>
          <w:szCs w:val="26"/>
        </w:rPr>
        <w:t xml:space="preserve">Il transforme une donnée brute et dispersée en une décision claire : vert, on roule ; orange, ça se tend ; rouge, il faut agir.</w:t>
      </w:r>
    </w:p>
    <w:p>
      <w:pPr>
        <w:spacing w:after="140" w:before="0" w:line="276"/>
        <w:jc w:val="both"/>
      </w:pPr>
      <w:r>
        <w:rPr>
          <w:rFonts w:ascii="Garamond" w:cs="Garamond" w:eastAsia="Garamond" w:hAnsi="Garamond"/>
          <w:b w:val="false"/>
          <w:bCs w:val="false"/>
          <w:i w:val="false"/>
          <w:iCs w:val="false"/>
          <w:color w:val="2B2B2B"/>
          <w:sz w:val="24"/>
          <w:szCs w:val="24"/>
        </w:rPr>
        <w:t xml:space="preserve">Trois principes ont guidé chaque choix que nous avons fait :</w:t>
      </w:r>
    </w:p>
    <w:p>
      <w:pPr>
        <w:spacing w:after="160" w:before="0" w:line="276"/>
        <w:jc w:val="both"/>
      </w:pPr>
      <w:r>
        <w:rPr>
          <w:rFonts w:ascii="Garamond" w:cs="Garamond" w:eastAsia="Garamond" w:hAnsi="Garamond"/>
          <w:b/>
          <w:bCs/>
          <w:i w:val="false"/>
          <w:iCs w:val="false"/>
          <w:color w:val="2B2B2B"/>
          <w:sz w:val="24"/>
          <w:szCs w:val="24"/>
        </w:rPr>
        <w:t xml:space="preserve">1. Le temps réel d’abord. </w:t>
      </w:r>
      <w:r>
        <w:rPr>
          <w:rFonts w:ascii="Garamond" w:cs="Garamond" w:eastAsia="Garamond" w:hAnsi="Garamond"/>
          <w:b w:val="false"/>
          <w:bCs w:val="false"/>
          <w:i w:val="false"/>
          <w:iCs w:val="false"/>
          <w:color w:val="2B2B2B"/>
          <w:sz w:val="24"/>
          <w:szCs w:val="24"/>
        </w:rPr>
        <w:t xml:space="preserve">Une donnée sur le trafic qui a trente minutes ne vaut rien. La nôtre se rafraîchit en continu.</w:t>
      </w:r>
    </w:p>
    <w:p>
      <w:pPr>
        <w:spacing w:after="160" w:before="0" w:line="276"/>
        <w:jc w:val="both"/>
      </w:pPr>
      <w:r>
        <w:rPr>
          <w:rFonts w:ascii="Garamond" w:cs="Garamond" w:eastAsia="Garamond" w:hAnsi="Garamond"/>
          <w:b/>
          <w:bCs/>
          <w:i w:val="false"/>
          <w:iCs w:val="false"/>
          <w:color w:val="2B2B2B"/>
          <w:sz w:val="24"/>
          <w:szCs w:val="24"/>
        </w:rPr>
        <w:t xml:space="preserve">2. La lisibilité avant la technique. </w:t>
      </w:r>
      <w:r>
        <w:rPr>
          <w:rFonts w:ascii="Garamond" w:cs="Garamond" w:eastAsia="Garamond" w:hAnsi="Garamond"/>
          <w:b w:val="false"/>
          <w:bCs w:val="false"/>
          <w:i w:val="false"/>
          <w:iCs w:val="false"/>
          <w:color w:val="2B2B2B"/>
          <w:sz w:val="24"/>
          <w:szCs w:val="24"/>
        </w:rPr>
        <w:t xml:space="preserve">Un responsable d’exploitation doit comprendre l’état du réseau en trois secondes, sans formation. Un seul coup d’œil, une couleur, une décision.</w:t>
      </w:r>
    </w:p>
    <w:p>
      <w:pPr>
        <w:spacing w:after="160" w:before="0" w:line="276"/>
        <w:jc w:val="both"/>
      </w:pPr>
      <w:r>
        <w:rPr>
          <w:rFonts w:ascii="Garamond" w:cs="Garamond" w:eastAsia="Garamond" w:hAnsi="Garamond"/>
          <w:b/>
          <w:bCs/>
          <w:i w:val="false"/>
          <w:iCs w:val="false"/>
          <w:color w:val="2B2B2B"/>
          <w:sz w:val="24"/>
          <w:szCs w:val="24"/>
        </w:rPr>
        <w:t xml:space="preserve">3. Des chiffres réels, jamais inventés. </w:t>
      </w:r>
      <w:r>
        <w:rPr>
          <w:rFonts w:ascii="Garamond" w:cs="Garamond" w:eastAsia="Garamond" w:hAnsi="Garamond"/>
          <w:b w:val="false"/>
          <w:bCs w:val="false"/>
          <w:i w:val="false"/>
          <w:iCs w:val="false"/>
          <w:color w:val="2B2B2B"/>
          <w:sz w:val="24"/>
          <w:szCs w:val="24"/>
        </w:rPr>
        <w:t xml:space="preserve">Chaque valeur affichée vient d’une mesure horodatée. Rien dans PortFlow n’est décoratif.</w:t>
      </w:r>
    </w:p>
    <w:p>
      <w:pPr>
        <w:spacing w:after="140" w:before="0" w:line="276"/>
        <w:jc w:val="both"/>
      </w:pPr>
      <w:r>
        <w:rPr>
          <w:rFonts w:ascii="Garamond" w:cs="Garamond" w:eastAsia="Garamond" w:hAnsi="Garamond"/>
          <w:b w:val="false"/>
          <w:bCs w:val="false"/>
          <w:i w:val="false"/>
          <w:iCs w:val="false"/>
          <w:color w:val="2B2B2B"/>
          <w:sz w:val="24"/>
          <w:szCs w:val="24"/>
        </w:rPr>
        <w:t xml:space="preserve">Concrètement, nous surveillons aujourd’hui trois axes majeurs, tous dans les deux sens de circulation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472"/>
        <w:gridCol w:w="2300"/>
        <w:gridCol w:w="2300"/>
      </w:tblGrid>
      <w:tr>
        <w:trPr>
          <w:tblHeader/>
        </w:trPr>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Axe</w:t>
            </w:r>
          </w:p>
        </w:tc>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Distance</w:t>
            </w:r>
          </w:p>
        </w:tc>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Temps de référence</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CARENA → Palm Beach</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11,9 km</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27 minutes</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Toyota CFAO → Palm Beach</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7,0 km</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17 minutes</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Agence SODECI → Palm Beach</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10,9 km</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right"/>
            </w:pPr>
            <w:r>
              <w:rPr>
                <w:rFonts w:ascii="Garamond" w:cs="Garamond" w:eastAsia="Garamond" w:hAnsi="Garamond"/>
                <w:b w:val="false"/>
                <w:bCs w:val="false"/>
                <w:color w:val="2B2B2B"/>
                <w:sz w:val="22"/>
                <w:szCs w:val="22"/>
              </w:rPr>
              <w:t xml:space="preserve">22 minutes</w:t>
            </w:r>
          </w:p>
        </w:tc>
      </w:tr>
    </w:tbl>
    <w:p>
      <w:pPr>
        <w:spacing w:after="80" w:before="0" w:line="276"/>
        <w:jc w:val="both"/>
      </w:pPr>
      <w:r>
        <w:rPr>
          <w:rFonts w:ascii="Garamond" w:cs="Garamond" w:eastAsia="Garamond" w:hAnsi="Garamond"/>
          <w:b w:val="false"/>
          <w:bCs w:val="false"/>
          <w:i w:val="false"/>
          <w:iCs w:val="false"/>
          <w:color w:val="2B2B2B"/>
          <w:sz w:val="24"/>
          <w:szCs w:val="24"/>
        </w:rPr>
        <w:t xml:space="preserve"/>
      </w:r>
    </w:p>
    <w:p>
      <w:pPr>
        <w:spacing w:after="140" w:before="0" w:line="276"/>
        <w:jc w:val="both"/>
      </w:pPr>
      <w:r>
        <w:rPr>
          <w:rFonts w:ascii="Garamond" w:cs="Garamond" w:eastAsia="Garamond" w:hAnsi="Garamond"/>
          <w:b w:val="false"/>
          <w:bCs w:val="false"/>
          <w:i w:val="false"/>
          <w:iCs w:val="false"/>
          <w:color w:val="2B2B2B"/>
          <w:sz w:val="24"/>
          <w:szCs w:val="24"/>
        </w:rPr>
        <w:t xml:space="preserve">Tous convergent vers un même point névralgique : la pharmacie de Palm Beach, à Vridi. Voyons maintenant à quoi ça ressemble en vrai — et pour ça, je laisse la main à mon collègue.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single" w:color="B9CDDC" w:sz="4"/>
              <w:left w:val="single" w:color="1A6FA8" w:sz="24"/>
              <w:bottom w:val="single" w:color="B9CDDC" w:sz="4"/>
              <w:right w:val="single" w:color="B9CDDC" w:sz="4"/>
            </w:tcBorders>
            <w:shd w:fill="E8F3FA" w:val="clear"/>
            <w:tcMar>
              <w:top w:type="dxa" w:w="110"/>
              <w:left w:type="dxa" w:w="160"/>
              <w:bottom w:type="dxa" w:w="110"/>
              <w:right w:type="dxa" w:w="160"/>
            </w:tcMar>
          </w:tcPr>
          <w:p>
            <w:pPr>
              <w:spacing w:after="60" w:line="276"/>
            </w:pPr>
            <w:r>
              <w:rPr>
                <w:rFonts w:ascii="Garamond" w:cs="Garamond" w:eastAsia="Garamond" w:hAnsi="Garamond"/>
                <w:b/>
                <w:bCs/>
                <w:color w:val="0E4C74"/>
                <w:sz w:val="22"/>
                <w:szCs w:val="22"/>
              </w:rPr>
              <w:t xml:space="preserve">⟶ RELAIS  Intervenant 1 → Intervenant 2</w:t>
            </w:r>
          </w:p>
          <w:p>
            <w:pPr>
              <w:spacing w:after="0" w:line="276"/>
            </w:pPr>
            <w:r>
              <w:rPr>
                <w:rFonts w:ascii="Garamond" w:cs="Garamond" w:eastAsia="Garamond" w:hAnsi="Garamond"/>
                <w:i/>
                <w:iCs/>
                <w:color w:val="2B2B2B"/>
                <w:sz w:val="22"/>
                <w:szCs w:val="22"/>
              </w:rPr>
              <w:t xml:space="preserve">L’intervenant 2 prend l’écran. Phrase de reprise : « Merci. Ce que [prénom] vient de décrire, le voici en fonctionnement, en direct. »</w:t>
            </w:r>
          </w:p>
        </w:tc>
      </w:tr>
    </w:tbl>
    <w:p>
      <w:pPr>
        <w:pStyle w:val="Titre1"/>
        <w:spacing w:after="200" w:before="360"/>
      </w:pPr>
      <w:r>
        <w:rPr>
          <w:rFonts w:ascii="Garamond" w:cs="Garamond" w:eastAsia="Garamond" w:hAnsi="Garamond"/>
        </w:rPr>
        <w:t xml:space="preserve">SÉQUENCE 4 — DÉMO : LE PRODUIT QUI VIT</w:t>
      </w:r>
    </w:p>
    <w:p>
      <w:pPr>
        <w:spacing w:after="140" w:before="0" w:line="276"/>
        <w:jc w:val="left"/>
      </w:pPr>
      <w:r>
        <w:rPr>
          <w:rFonts w:ascii="Garamond" w:cs="Garamond" w:eastAsia="Garamond" w:hAnsi="Garamond"/>
          <w:b w:val="false"/>
          <w:bCs w:val="false"/>
          <w:i/>
          <w:iCs/>
          <w:color w:val="1A6FA8"/>
          <w:sz w:val="22"/>
          <w:szCs w:val="22"/>
        </w:rPr>
        <w:t xml:space="preserve">7 minutes · Intervenant 2</w:t>
      </w:r>
    </w:p>
    <w:p>
      <w:pPr>
        <w:spacing w:after="120" w:before="0" w:line="276"/>
        <w:jc w:val="left"/>
      </w:pPr>
      <w:r>
        <w:rPr>
          <w:rFonts w:ascii="Garamond" w:cs="Garamond" w:eastAsia="Garamond" w:hAnsi="Garamond"/>
          <w:b w:val="false"/>
          <w:bCs w:val="false"/>
          <w:i/>
          <w:iCs/>
          <w:color w:val="595959"/>
          <w:sz w:val="20"/>
          <w:szCs w:val="20"/>
        </w:rPr>
        <w:t xml:space="preserve">[Passez en démonstration live. Si le réseau est incertain, ayez une vidéo de secours prête. Ne lisez pas l’écran — racontez-le.]</w:t>
      </w:r>
    </w:p>
    <w:p>
      <w:pPr>
        <w:pStyle w:val="Titre2"/>
        <w:spacing w:after="160" w:before="280"/>
      </w:pPr>
      <w:r>
        <w:rPr>
          <w:rFonts w:ascii="Garamond" w:cs="Garamond" w:eastAsia="Garamond" w:hAnsi="Garamond"/>
        </w:rPr>
        <w:t xml:space="preserve">4.1 · Le tableau de bord</w:t>
      </w:r>
    </w:p>
    <w:p>
      <w:pPr>
        <w:spacing w:after="120" w:before="0" w:line="276"/>
        <w:jc w:val="left"/>
      </w:pPr>
      <w:r>
        <w:rPr>
          <w:rFonts w:ascii="Garamond" w:cs="Garamond" w:eastAsia="Garamond" w:hAnsi="Garamond"/>
          <w:b w:val="false"/>
          <w:bCs w:val="false"/>
          <w:i/>
          <w:iCs/>
          <w:color w:val="595959"/>
          <w:sz w:val="20"/>
          <w:szCs w:val="20"/>
        </w:rPr>
        <w:t xml:space="preserve">[Ouvrez le Dashboard.]</w:t>
      </w:r>
    </w:p>
    <w:p>
      <w:pPr>
        <w:spacing w:after="140" w:before="0" w:line="276"/>
        <w:jc w:val="both"/>
      </w:pPr>
      <w:r>
        <w:rPr>
          <w:rFonts w:ascii="Garamond" w:cs="Garamond" w:eastAsia="Garamond" w:hAnsi="Garamond"/>
          <w:b w:val="false"/>
          <w:bCs w:val="false"/>
          <w:i w:val="false"/>
          <w:iCs w:val="false"/>
          <w:color w:val="2B2B2B"/>
          <w:sz w:val="24"/>
          <w:szCs w:val="24"/>
        </w:rPr>
        <w:t xml:space="preserve">Voici ce que voit un agent du Port en arrivant le matin. Une carte du port, et sur cette carte, nos trois axes tracés au vrai tracé de la route — pas des lignes droites approximatives, les vraies rues, calculées sur le réseau routier réel.</w:t>
      </w:r>
    </w:p>
    <w:p>
      <w:pPr>
        <w:spacing w:after="140" w:before="0" w:line="276"/>
        <w:jc w:val="both"/>
      </w:pPr>
      <w:r>
        <w:rPr>
          <w:rFonts w:ascii="Garamond" w:cs="Garamond" w:eastAsia="Garamond" w:hAnsi="Garamond"/>
          <w:b w:val="false"/>
          <w:bCs w:val="false"/>
          <w:i w:val="false"/>
          <w:iCs w:val="false"/>
          <w:color w:val="2B2B2B"/>
          <w:sz w:val="24"/>
          <w:szCs w:val="24"/>
        </w:rPr>
        <w:t xml:space="preserve">Et chaque axe a une couleur :</w:t>
      </w:r>
    </w:p>
    <w:p>
      <w:pPr>
        <w:spacing w:after="160" w:before="0" w:line="276"/>
        <w:jc w:val="both"/>
      </w:pPr>
      <w:r>
        <w:rPr>
          <w:rFonts w:ascii="Garamond" w:cs="Garamond" w:eastAsia="Garamond" w:hAnsi="Garamond"/>
          <w:b/>
          <w:bCs/>
          <w:i w:val="false"/>
          <w:iCs w:val="false"/>
          <w:color w:val="0E4C74"/>
          <w:sz w:val="24"/>
          <w:szCs w:val="24"/>
        </w:rPr>
        <w:t xml:space="preserve">Vert : </w:t>
      </w:r>
      <w:r>
        <w:rPr>
          <w:rFonts w:ascii="Garamond" w:cs="Garamond" w:eastAsia="Garamond" w:hAnsi="Garamond"/>
          <w:b w:val="false"/>
          <w:bCs w:val="false"/>
          <w:i w:val="false"/>
          <w:iCs w:val="false"/>
          <w:color w:val="2B2B2B"/>
          <w:sz w:val="24"/>
          <w:szCs w:val="24"/>
        </w:rPr>
        <w:t xml:space="preserve">le trafic est fluide, on est proche du temps de référence.</w:t>
      </w:r>
    </w:p>
    <w:p>
      <w:pPr>
        <w:spacing w:after="160" w:before="0" w:line="276"/>
        <w:jc w:val="both"/>
      </w:pPr>
      <w:r>
        <w:rPr>
          <w:rFonts w:ascii="Garamond" w:cs="Garamond" w:eastAsia="Garamond" w:hAnsi="Garamond"/>
          <w:b/>
          <w:bCs/>
          <w:i w:val="false"/>
          <w:iCs w:val="false"/>
          <w:color w:val="0E4C74"/>
          <w:sz w:val="24"/>
          <w:szCs w:val="24"/>
        </w:rPr>
        <w:t xml:space="preserve">Orange : </w:t>
      </w:r>
      <w:r>
        <w:rPr>
          <w:rFonts w:ascii="Garamond" w:cs="Garamond" w:eastAsia="Garamond" w:hAnsi="Garamond"/>
          <w:b w:val="false"/>
          <w:bCs w:val="false"/>
          <w:i w:val="false"/>
          <w:iCs w:val="false"/>
          <w:color w:val="2B2B2B"/>
          <w:sz w:val="24"/>
          <w:szCs w:val="24"/>
        </w:rPr>
        <w:t xml:space="preserve">ça se tend — on a dépassé la référence de 40 %.</w:t>
      </w:r>
    </w:p>
    <w:p>
      <w:pPr>
        <w:spacing w:after="160" w:before="0" w:line="276"/>
        <w:jc w:val="both"/>
      </w:pPr>
      <w:r>
        <w:rPr>
          <w:rFonts w:ascii="Garamond" w:cs="Garamond" w:eastAsia="Garamond" w:hAnsi="Garamond"/>
          <w:b/>
          <w:bCs/>
          <w:i w:val="false"/>
          <w:iCs w:val="false"/>
          <w:color w:val="0E4C74"/>
          <w:sz w:val="24"/>
          <w:szCs w:val="24"/>
        </w:rPr>
        <w:t xml:space="preserve">Rouge : </w:t>
      </w:r>
      <w:r>
        <w:rPr>
          <w:rFonts w:ascii="Garamond" w:cs="Garamond" w:eastAsia="Garamond" w:hAnsi="Garamond"/>
          <w:b w:val="false"/>
          <w:bCs w:val="false"/>
          <w:i w:val="false"/>
          <w:iCs w:val="false"/>
          <w:color w:val="2B2B2B"/>
          <w:sz w:val="24"/>
          <w:szCs w:val="24"/>
        </w:rPr>
        <w:t xml:space="preserve">c’est saturé — on est à près du double du temps normal.</w:t>
      </w:r>
    </w:p>
    <w:p>
      <w:pPr>
        <w:spacing w:after="160" w:before="0" w:line="276"/>
        <w:jc w:val="both"/>
      </w:pPr>
      <w:r>
        <w:rPr>
          <w:rFonts w:ascii="Garamond" w:cs="Garamond" w:eastAsia="Garamond" w:hAnsi="Garamond"/>
          <w:b w:val="false"/>
          <w:bCs w:val="false"/>
          <w:i w:val="false"/>
          <w:iCs w:val="false"/>
          <w:color w:val="2B2B2B"/>
          <w:sz w:val="24"/>
          <w:szCs w:val="24"/>
        </w:rPr>
        <w:t xml:space="preserve">Cet axe est en orange. En une seconde, sans lire un seul chiffre, vous savez qu’il faut surveiller. Ça, c’est la promesse tenue : </w:t>
      </w:r>
      <w:r>
        <w:rPr>
          <w:rFonts w:ascii="Garamond" w:cs="Garamond" w:eastAsia="Garamond" w:hAnsi="Garamond"/>
          <w:b/>
          <w:bCs/>
          <w:i w:val="false"/>
          <w:iCs w:val="false"/>
          <w:color w:val="2B2B2B"/>
          <w:sz w:val="24"/>
          <w:szCs w:val="24"/>
        </w:rPr>
        <w:t xml:space="preserve">une couleur, une décision.</w:t>
      </w:r>
    </w:p>
    <w:p>
      <w:pPr>
        <w:spacing w:after="140" w:before="0" w:line="276"/>
        <w:jc w:val="both"/>
      </w:pPr>
      <w:r>
        <w:rPr>
          <w:rFonts w:ascii="Garamond" w:cs="Garamond" w:eastAsia="Garamond" w:hAnsi="Garamond"/>
          <w:b w:val="false"/>
          <w:bCs w:val="false"/>
          <w:i w:val="false"/>
          <w:iCs w:val="false"/>
          <w:color w:val="2B2B2B"/>
          <w:sz w:val="24"/>
          <w:szCs w:val="24"/>
        </w:rPr>
        <w:t xml:space="preserve">Et si je veux le détail ? Un clic sur l’axe : le temps de parcours actuel, le temps de référence, le retard en minutes, le sens de circulation. Tout est là.</w:t>
      </w:r>
    </w:p>
    <w:p>
      <w:pPr>
        <w:spacing w:after="120" w:before="0" w:line="276"/>
        <w:jc w:val="left"/>
      </w:pPr>
      <w:r>
        <w:rPr>
          <w:rFonts w:ascii="Garamond" w:cs="Garamond" w:eastAsia="Garamond" w:hAnsi="Garamond"/>
          <w:b w:val="false"/>
          <w:bCs w:val="false"/>
          <w:i/>
          <w:iCs/>
          <w:color w:val="595959"/>
          <w:sz w:val="20"/>
          <w:szCs w:val="20"/>
        </w:rPr>
        <w:t xml:space="preserve">〈option〉 Regardez en haut : les données affichent leur propre fraîcheur. On sait toujours de quand date la dernière mesure. Un tableau de bord qui ne vous dit pas s’il est à jour est un tableau de bord en qui on ne peut pas avoir confiance. Le nôtre le dit. 〈/option〉</w:t>
      </w:r>
    </w:p>
    <w:p>
      <w:pPr>
        <w:pStyle w:val="Titre2"/>
        <w:spacing w:after="160" w:before="280"/>
      </w:pPr>
      <w:r>
        <w:rPr>
          <w:rFonts w:ascii="Garamond" w:cs="Garamond" w:eastAsia="Garamond" w:hAnsi="Garamond"/>
        </w:rPr>
        <w:t xml:space="preserve">4.2 · L’historique et les tendances</w:t>
      </w:r>
    </w:p>
    <w:p>
      <w:pPr>
        <w:spacing w:after="120" w:before="0" w:line="276"/>
        <w:jc w:val="left"/>
      </w:pPr>
      <w:r>
        <w:rPr>
          <w:rFonts w:ascii="Garamond" w:cs="Garamond" w:eastAsia="Garamond" w:hAnsi="Garamond"/>
          <w:b w:val="false"/>
          <w:bCs w:val="false"/>
          <w:i/>
          <w:iCs/>
          <w:color w:val="595959"/>
          <w:sz w:val="20"/>
          <w:szCs w:val="20"/>
        </w:rPr>
        <w:t xml:space="preserve">[Passez à la page Graphiques.]</w:t>
      </w:r>
    </w:p>
    <w:p>
      <w:pPr>
        <w:spacing w:after="140" w:before="0" w:line="276"/>
        <w:jc w:val="both"/>
      </w:pPr>
      <w:r>
        <w:rPr>
          <w:rFonts w:ascii="Garamond" w:cs="Garamond" w:eastAsia="Garamond" w:hAnsi="Garamond"/>
          <w:b w:val="false"/>
          <w:bCs w:val="false"/>
          <w:i w:val="false"/>
          <w:iCs w:val="false"/>
          <w:color w:val="2B2B2B"/>
          <w:sz w:val="24"/>
          <w:szCs w:val="24"/>
        </w:rPr>
        <w:t xml:space="preserve">Le temps réel répond à la question « comment ça va maintenant ? ». Mais un décideur a besoin d’une autre réponse : « comment ça se comporte d’habitude ? »</w:t>
      </w:r>
    </w:p>
    <w:p>
      <w:pPr>
        <w:spacing w:after="140" w:before="0" w:line="276"/>
        <w:jc w:val="both"/>
      </w:pPr>
      <w:r>
        <w:rPr>
          <w:rFonts w:ascii="Garamond" w:cs="Garamond" w:eastAsia="Garamond" w:hAnsi="Garamond"/>
          <w:b w:val="false"/>
          <w:bCs w:val="false"/>
          <w:i w:val="false"/>
          <w:iCs w:val="false"/>
          <w:color w:val="2B2B2B"/>
          <w:sz w:val="24"/>
          <w:szCs w:val="24"/>
        </w:rPr>
        <w:t xml:space="preserve">Voici l’évolution du trafic dans le temps. On voit apparaître les pics récurrents — les heures où, systématiquement, un axe bascule dans le rouge. Et ça, ce n’est plus de la réaction, c’est le début de la planification. On peut décaler un convoi de trente minutes et éviter entièrement le pic.</w:t>
      </w:r>
    </w:p>
    <w:p>
      <w:pPr>
        <w:pStyle w:val="Titre2"/>
        <w:spacing w:after="160" w:before="280"/>
      </w:pPr>
      <w:r>
        <w:rPr>
          <w:rFonts w:ascii="Garamond" w:cs="Garamond" w:eastAsia="Garamond" w:hAnsi="Garamond"/>
        </w:rPr>
        <w:t xml:space="preserve">4.3 · Le point de convergence</w:t>
      </w:r>
    </w:p>
    <w:p>
      <w:pPr>
        <w:spacing w:after="120" w:before="0" w:line="276"/>
        <w:jc w:val="left"/>
      </w:pPr>
      <w:r>
        <w:rPr>
          <w:rFonts w:ascii="Garamond" w:cs="Garamond" w:eastAsia="Garamond" w:hAnsi="Garamond"/>
          <w:b w:val="false"/>
          <w:bCs w:val="false"/>
          <w:i/>
          <w:iCs/>
          <w:color w:val="595959"/>
          <w:sz w:val="20"/>
          <w:szCs w:val="20"/>
        </w:rPr>
        <w:t xml:space="preserve">[Revenez sur la carte, montrez Palm Beach.]</w:t>
      </w:r>
    </w:p>
    <w:p>
      <w:pPr>
        <w:spacing w:after="160" w:before="0" w:line="276"/>
        <w:jc w:val="both"/>
      </w:pPr>
      <w:r>
        <w:rPr>
          <w:rFonts w:ascii="Garamond" w:cs="Garamond" w:eastAsia="Garamond" w:hAnsi="Garamond"/>
          <w:b w:val="false"/>
          <w:bCs w:val="false"/>
          <w:i w:val="false"/>
          <w:iCs w:val="false"/>
          <w:color w:val="2B2B2B"/>
          <w:sz w:val="24"/>
          <w:szCs w:val="24"/>
        </w:rPr>
        <w:t xml:space="preserve">Un dernier détail qui compte. Nos trois axes ne sont pas indépendants — ils finissent tous au même endroit, à Palm Beach. Ce qui veut dire que lorsque deux axes rougissent en même temps, ce n’est pas deux problèmes, c’est </w:t>
      </w:r>
      <w:r>
        <w:rPr>
          <w:rFonts w:ascii="Garamond" w:cs="Garamond" w:eastAsia="Garamond" w:hAnsi="Garamond"/>
          <w:b/>
          <w:bCs/>
          <w:i w:val="false"/>
          <w:iCs w:val="false"/>
          <w:color w:val="2B2B2B"/>
          <w:sz w:val="24"/>
          <w:szCs w:val="24"/>
        </w:rPr>
        <w:t xml:space="preserve">un goulot d’étranglement qui se forme au point de convergence.</w:t>
      </w:r>
      <w:r>
        <w:rPr>
          <w:rFonts w:ascii="Garamond" w:cs="Garamond" w:eastAsia="Garamond" w:hAnsi="Garamond"/>
          <w:b w:val="false"/>
          <w:bCs w:val="false"/>
          <w:i w:val="false"/>
          <w:iCs w:val="false"/>
          <w:color w:val="2B2B2B"/>
          <w:sz w:val="24"/>
          <w:szCs w:val="24"/>
        </w:rPr>
        <w:t xml:space="preserve"> PortFlow rend ce phénomène visible d’un coup d’œil, là où, sur le terrain, il serait indétectable jusqu’à ce qu’il soit trop tard.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single" w:color="B9CDDC" w:sz="4"/>
              <w:left w:val="single" w:color="1A6FA8" w:sz="24"/>
              <w:bottom w:val="single" w:color="B9CDDC" w:sz="4"/>
              <w:right w:val="single" w:color="B9CDDC" w:sz="4"/>
            </w:tcBorders>
            <w:shd w:fill="E8F3FA" w:val="clear"/>
            <w:tcMar>
              <w:top w:type="dxa" w:w="110"/>
              <w:left w:type="dxa" w:w="160"/>
              <w:bottom w:type="dxa" w:w="110"/>
              <w:right w:type="dxa" w:w="160"/>
            </w:tcMar>
          </w:tcPr>
          <w:p>
            <w:pPr>
              <w:spacing w:after="60" w:line="276"/>
            </w:pPr>
            <w:r>
              <w:rPr>
                <w:rFonts w:ascii="Garamond" w:cs="Garamond" w:eastAsia="Garamond" w:hAnsi="Garamond"/>
                <w:b/>
                <w:bCs/>
                <w:color w:val="0E4C74"/>
                <w:sz w:val="22"/>
                <w:szCs w:val="22"/>
              </w:rPr>
              <w:t xml:space="preserve">⟶ RELAIS  Intervenant 2 → Intervenant 3</w:t>
            </w:r>
          </w:p>
          <w:p>
            <w:pPr>
              <w:spacing w:after="0" w:line="276"/>
            </w:pPr>
            <w:r>
              <w:rPr>
                <w:rFonts w:ascii="Garamond" w:cs="Garamond" w:eastAsia="Garamond" w:hAnsi="Garamond"/>
                <w:i/>
                <w:iCs/>
                <w:color w:val="2B2B2B"/>
                <w:sz w:val="22"/>
                <w:szCs w:val="22"/>
              </w:rPr>
              <w:t xml:space="preserve">« Tout ce que vous venez de voir a l’air simple. C’est le but. » [l’intervenant 2 rend la main] « Mais derrière cette simplicité, il y a une machine. Laissez-moi soulever le capot deux minutes. » [l’intervenant 3 reprend]</w:t>
            </w:r>
          </w:p>
        </w:tc>
      </w:tr>
    </w:tbl>
    <w:p>
      <w:pPr>
        <w:pStyle w:val="Titre1"/>
        <w:spacing w:after="200" w:before="360"/>
      </w:pPr>
      <w:r>
        <w:rPr>
          <w:rFonts w:ascii="Garamond" w:cs="Garamond" w:eastAsia="Garamond" w:hAnsi="Garamond"/>
        </w:rPr>
        <w:t xml:space="preserve">SÉQUENCE 5 — SOUS LE CAPOT : LA CRÉDIBILITÉ</w:t>
      </w:r>
    </w:p>
    <w:p>
      <w:pPr>
        <w:spacing w:after="140" w:before="0" w:line="276"/>
        <w:jc w:val="left"/>
      </w:pPr>
      <w:r>
        <w:rPr>
          <w:rFonts w:ascii="Garamond" w:cs="Garamond" w:eastAsia="Garamond" w:hAnsi="Garamond"/>
          <w:b w:val="false"/>
          <w:bCs w:val="false"/>
          <w:i/>
          <w:iCs/>
          <w:color w:val="1A6FA8"/>
          <w:sz w:val="22"/>
          <w:szCs w:val="22"/>
        </w:rPr>
        <w:t xml:space="preserve">4 minutes · Intervenant 3</w:t>
      </w:r>
    </w:p>
    <w:p>
      <w:pPr>
        <w:spacing w:after="120" w:before="0" w:line="276"/>
        <w:jc w:val="left"/>
      </w:pPr>
      <w:r>
        <w:rPr>
          <w:rFonts w:ascii="Garamond" w:cs="Garamond" w:eastAsia="Garamond" w:hAnsi="Garamond"/>
          <w:b w:val="false"/>
          <w:bCs w:val="false"/>
          <w:i/>
          <w:iCs/>
          <w:color w:val="595959"/>
          <w:sz w:val="20"/>
          <w:szCs w:val="20"/>
        </w:rPr>
        <w:t xml:space="preserve">[Pour le jury technique. Rythme sûr, sans jargon gratuit. Le Directeur doit comprendre que « c’est du solide », même sans suivre chaque terme.]</w:t>
      </w:r>
    </w:p>
    <w:p>
      <w:pPr>
        <w:spacing w:after="160" w:before="0" w:line="276"/>
        <w:jc w:val="both"/>
      </w:pPr>
      <w:r>
        <w:rPr>
          <w:rFonts w:ascii="Garamond" w:cs="Garamond" w:eastAsia="Garamond" w:hAnsi="Garamond"/>
          <w:b w:val="false"/>
          <w:bCs w:val="false"/>
          <w:i w:val="false"/>
          <w:iCs w:val="false"/>
          <w:color w:val="2B2B2B"/>
          <w:sz w:val="24"/>
          <w:szCs w:val="24"/>
        </w:rPr>
        <w:t xml:space="preserve">La question honnête, c’est : </w:t>
      </w:r>
      <w:r>
        <w:rPr>
          <w:rFonts w:ascii="Garamond" w:cs="Garamond" w:eastAsia="Garamond" w:hAnsi="Garamond"/>
          <w:b/>
          <w:bCs/>
          <w:i w:val="false"/>
          <w:iCs w:val="false"/>
          <w:color w:val="2B2B2B"/>
          <w:sz w:val="24"/>
          <w:szCs w:val="24"/>
        </w:rPr>
        <w:t xml:space="preserve">d’où viennent les chiffres, et est-ce qu’on peut leur faire confiance ?</w:t>
      </w:r>
    </w:p>
    <w:p>
      <w:pPr>
        <w:pStyle w:val="Titre2"/>
        <w:spacing w:after="160" w:before="280"/>
      </w:pPr>
      <w:r>
        <w:rPr>
          <w:rFonts w:ascii="Garamond" w:cs="Garamond" w:eastAsia="Garamond" w:hAnsi="Garamond"/>
        </w:rPr>
        <w:t xml:space="preserve">5.1 · La chaîne de la donnée</w:t>
      </w:r>
    </w:p>
    <w:p>
      <w:pPr>
        <w:spacing w:after="140" w:before="0" w:line="276"/>
        <w:jc w:val="both"/>
      </w:pPr>
      <w:r>
        <w:rPr>
          <w:rFonts w:ascii="Garamond" w:cs="Garamond" w:eastAsia="Garamond" w:hAnsi="Garamond"/>
          <w:b w:val="false"/>
          <w:bCs w:val="false"/>
          <w:i w:val="false"/>
          <w:iCs w:val="false"/>
          <w:color w:val="2B2B2B"/>
          <w:sz w:val="24"/>
          <w:szCs w:val="24"/>
        </w:rPr>
        <w:t xml:space="preserve">Toutes les cinq minutes, automatiquement, une tâche programmée interroge l’API de trafic de TomTom — la même source de référence utilisée dans les systèmes de navigation professionnels — pour chacun de nos axes, dans les deux sens. Une seconde source, Google Distance Matrix, sert de filet de sécurité.</w:t>
      </w:r>
    </w:p>
    <w:p>
      <w:pPr>
        <w:spacing w:after="140" w:before="0" w:line="276"/>
        <w:jc w:val="both"/>
      </w:pPr>
      <w:r>
        <w:rPr>
          <w:rFonts w:ascii="Garamond" w:cs="Garamond" w:eastAsia="Garamond" w:hAnsi="Garamond"/>
          <w:b w:val="false"/>
          <w:bCs w:val="false"/>
          <w:i w:val="false"/>
          <w:iCs w:val="false"/>
          <w:color w:val="2B2B2B"/>
          <w:sz w:val="24"/>
          <w:szCs w:val="24"/>
        </w:rPr>
        <w:t xml:space="preserve">Cette collecte tourne toute seule, jour et nuit, sans que personne n’ait à lancer quoi que ce soit. Elle est orchestrée par GitHub Actions, une infrastructure d’automatisation industrielle. Le système se nourrit lui-même.</w:t>
      </w:r>
    </w:p>
    <w:p>
      <w:pPr>
        <w:pStyle w:val="Titre2"/>
        <w:spacing w:after="160" w:before="280"/>
      </w:pPr>
      <w:r>
        <w:rPr>
          <w:rFonts w:ascii="Garamond" w:cs="Garamond" w:eastAsia="Garamond" w:hAnsi="Garamond"/>
        </w:rPr>
        <w:t xml:space="preserve">5.2 · Le tracé réel des routes</w:t>
      </w:r>
    </w:p>
    <w:p>
      <w:pPr>
        <w:spacing w:after="140" w:before="0" w:line="276"/>
        <w:jc w:val="both"/>
      </w:pPr>
      <w:r>
        <w:rPr>
          <w:rFonts w:ascii="Garamond" w:cs="Garamond" w:eastAsia="Garamond" w:hAnsi="Garamond"/>
          <w:b w:val="false"/>
          <w:bCs w:val="false"/>
          <w:i w:val="false"/>
          <w:iCs w:val="false"/>
          <w:color w:val="2B2B2B"/>
          <w:sz w:val="24"/>
          <w:szCs w:val="24"/>
        </w:rPr>
        <w:t xml:space="preserve">Les axes ne sont pas dessinés à la main. Leur géométrie est calculée par un moteur de routage, OSRM, sur les données cartographiques d’OpenStreetMap. C’est pour ça que la ligne épouse la vraie rue, virage après virage. La conséquence, c’est que le temps mesuré correspond au vrai chemin qu’emprunte le camion, pas à un vol d’oiseau théorique.</w:t>
      </w:r>
    </w:p>
    <w:p>
      <w:pPr>
        <w:pStyle w:val="Titre2"/>
        <w:spacing w:after="160" w:before="280"/>
      </w:pPr>
      <w:r>
        <w:rPr>
          <w:rFonts w:ascii="Garamond" w:cs="Garamond" w:eastAsia="Garamond" w:hAnsi="Garamond"/>
        </w:rPr>
        <w:t xml:space="preserve">5.3 · Une architecture temps réel de bout en bout</w:t>
      </w:r>
    </w:p>
    <w:p>
      <w:pPr>
        <w:spacing w:after="140" w:before="0" w:line="276"/>
        <w:jc w:val="both"/>
      </w:pPr>
      <w:r>
        <w:rPr>
          <w:rFonts w:ascii="Garamond" w:cs="Garamond" w:eastAsia="Garamond" w:hAnsi="Garamond"/>
          <w:b w:val="false"/>
          <w:bCs w:val="false"/>
          <w:i w:val="false"/>
          <w:iCs w:val="false"/>
          <w:color w:val="2B2B2B"/>
          <w:sz w:val="24"/>
          <w:szCs w:val="24"/>
        </w:rPr>
        <w:t xml:space="preserve">La donnée collectée arrive dans Firebase, la plateforme cloud de Google. Et le lien avec l’écran est vivant : dès qu’une nouvelle mesure tombe, le tableau de bord se met à jour tout seul, sans que l’utilisateur ait à rafraîchir la page. C’est ce qu’on appelle une liaison temps réel — et c’est ce qui fait qu’on regarde le Port respirer en direct.</w:t>
      </w:r>
    </w:p>
    <w:p>
      <w:pPr>
        <w:spacing w:after="160" w:before="0" w:line="276"/>
        <w:jc w:val="both"/>
      </w:pPr>
      <w:r>
        <w:rPr>
          <w:rFonts w:ascii="Garamond" w:cs="Garamond" w:eastAsia="Garamond" w:hAnsi="Garamond"/>
          <w:b w:val="false"/>
          <w:bCs w:val="false"/>
          <w:i w:val="false"/>
          <w:iCs w:val="false"/>
          <w:color w:val="2B2B2B"/>
          <w:sz w:val="24"/>
          <w:szCs w:val="24"/>
        </w:rPr>
        <w:t xml:space="preserve">En résumé : source professionnelle, tracé réel, collecte automatique, affichage instantané. </w:t>
      </w:r>
      <w:r>
        <w:rPr>
          <w:rFonts w:ascii="Garamond" w:cs="Garamond" w:eastAsia="Garamond" w:hAnsi="Garamond"/>
          <w:b/>
          <w:bCs/>
          <w:i w:val="false"/>
          <w:iCs w:val="false"/>
          <w:color w:val="2B2B2B"/>
          <w:sz w:val="24"/>
          <w:szCs w:val="24"/>
        </w:rPr>
        <w:t xml:space="preserve">Il n’y a aucune saisie manuelle dans cette chaîne. La donnée que vous voyez, personne ne l’a touchée.</w:t>
      </w:r>
    </w:p>
    <w:p>
      <w:pPr>
        <w:spacing w:after="120" w:before="0" w:line="276"/>
        <w:jc w:val="left"/>
      </w:pPr>
      <w:r>
        <w:rPr>
          <w:rFonts w:ascii="Garamond" w:cs="Garamond" w:eastAsia="Garamond" w:hAnsi="Garamond"/>
          <w:b w:val="false"/>
          <w:bCs w:val="false"/>
          <w:i/>
          <w:iCs/>
          <w:color w:val="595959"/>
          <w:sz w:val="20"/>
          <w:szCs w:val="20"/>
        </w:rPr>
        <w:t xml:space="preserve">[Transition :] « Mais montrer le présent, ce n’est que la moitié du travail. Un Port ne veut pas seulement savoir ce qui se passe. Il veut savoir ce qui va se passer. »</w:t>
      </w:r>
    </w:p>
    <w:p>
      <w:pPr>
        <w:pStyle w:val="Titre1"/>
        <w:spacing w:after="200" w:before="360"/>
      </w:pPr>
      <w:r>
        <w:rPr>
          <w:rFonts w:ascii="Garamond" w:cs="Garamond" w:eastAsia="Garamond" w:hAnsi="Garamond"/>
        </w:rPr>
        <w:t xml:space="preserve">SÉQUENCE 6 — L’INTELLIGENCE : PRÉDICTION ET ASSISTANT IA</w:t>
      </w:r>
    </w:p>
    <w:p>
      <w:pPr>
        <w:spacing w:after="140" w:before="0" w:line="276"/>
        <w:jc w:val="left"/>
      </w:pPr>
      <w:r>
        <w:rPr>
          <w:rFonts w:ascii="Garamond" w:cs="Garamond" w:eastAsia="Garamond" w:hAnsi="Garamond"/>
          <w:b w:val="false"/>
          <w:bCs w:val="false"/>
          <w:i/>
          <w:iCs/>
          <w:color w:val="1A6FA8"/>
          <w:sz w:val="22"/>
          <w:szCs w:val="22"/>
        </w:rPr>
        <w:t xml:space="preserve">3 minutes · Intervenant 3</w:t>
      </w:r>
    </w:p>
    <w:p>
      <w:pPr>
        <w:pStyle w:val="Titre2"/>
        <w:spacing w:after="160" w:before="280"/>
      </w:pPr>
      <w:r>
        <w:rPr>
          <w:rFonts w:ascii="Garamond" w:cs="Garamond" w:eastAsia="Garamond" w:hAnsi="Garamond"/>
        </w:rPr>
        <w:t xml:space="preserve">6.1 · Le modèle prédictif</w:t>
      </w:r>
    </w:p>
    <w:p>
      <w:pPr>
        <w:spacing w:after="140" w:before="0" w:line="276"/>
        <w:jc w:val="both"/>
      </w:pPr>
      <w:r>
        <w:rPr>
          <w:rFonts w:ascii="Garamond" w:cs="Garamond" w:eastAsia="Garamond" w:hAnsi="Garamond"/>
          <w:b w:val="false"/>
          <w:bCs w:val="false"/>
          <w:i w:val="false"/>
          <w:iCs w:val="false"/>
          <w:color w:val="2B2B2B"/>
          <w:sz w:val="24"/>
          <w:szCs w:val="24"/>
        </w:rPr>
        <w:t xml:space="preserve">Nous avons entraîné un modèle d’apprentissage automatique — une forêt aléatoire, Random Forest — sur l’historique réel du trafic. Son rôle : à partir de l’heure, du jour et de l’axe, anticiper le niveau de congestion à venir.</w:t>
      </w:r>
    </w:p>
    <w:p>
      <w:pPr>
        <w:spacing w:after="160" w:before="0" w:line="276"/>
        <w:jc w:val="both"/>
      </w:pPr>
      <w:r>
        <w:rPr>
          <w:rFonts w:ascii="Garamond" w:cs="Garamond" w:eastAsia="Garamond" w:hAnsi="Garamond"/>
          <w:b w:val="false"/>
          <w:bCs w:val="false"/>
          <w:i w:val="false"/>
          <w:iCs w:val="false"/>
          <w:color w:val="2B2B2B"/>
          <w:sz w:val="24"/>
          <w:szCs w:val="24"/>
        </w:rPr>
        <w:t xml:space="preserve">Je vais être franc avec vous : aujourd’hui, ce modèle atteint près de 80 % de précision, sur une première base de plus de deux mille mesures réelles. C’est une </w:t>
      </w:r>
      <w:r>
        <w:rPr>
          <w:rFonts w:ascii="Garamond" w:cs="Garamond" w:eastAsia="Garamond" w:hAnsi="Garamond"/>
          <w:b/>
          <w:bCs/>
          <w:i w:val="false"/>
          <w:iCs w:val="false"/>
          <w:color w:val="2B2B2B"/>
          <w:sz w:val="24"/>
          <w:szCs w:val="24"/>
        </w:rPr>
        <w:t xml:space="preserve">preuve de concept</w:t>
      </w:r>
      <w:r>
        <w:rPr>
          <w:rFonts w:ascii="Garamond" w:cs="Garamond" w:eastAsia="Garamond" w:hAnsi="Garamond"/>
          <w:b w:val="false"/>
          <w:bCs w:val="false"/>
          <w:i w:val="false"/>
          <w:iCs w:val="false"/>
          <w:color w:val="2B2B2B"/>
          <w:sz w:val="24"/>
          <w:szCs w:val="24"/>
        </w:rPr>
        <w:t xml:space="preserve">. Ce n’est pas encore un oracle. Mais l’essentiel est ailleurs — nous avons prouvé que la congestion du Port est prévisible, et nous avons bâti le tuyau qui, à mesure que la collecte automatique accumule les données, rendra ce modèle de plus en plus précis, tout seul. </w:t>
      </w:r>
      <w:r>
        <w:rPr>
          <w:rFonts w:ascii="Garamond" w:cs="Garamond" w:eastAsia="Garamond" w:hAnsi="Garamond"/>
          <w:b/>
          <w:bCs/>
          <w:i w:val="false"/>
          <w:iCs w:val="false"/>
          <w:color w:val="2B2B2B"/>
          <w:sz w:val="24"/>
          <w:szCs w:val="24"/>
        </w:rPr>
        <w:t xml:space="preserve">Plus PortFlow tourne, plus il devient intelligent.</w:t>
      </w:r>
    </w:p>
    <w:p>
      <w:pPr>
        <w:pStyle w:val="Titre2"/>
        <w:spacing w:after="160" w:before="280"/>
      </w:pPr>
      <w:r>
        <w:rPr>
          <w:rFonts w:ascii="Garamond" w:cs="Garamond" w:eastAsia="Garamond" w:hAnsi="Garamond"/>
        </w:rPr>
        <w:t xml:space="preserve">6.2 · L’assistant FlowPort</w:t>
      </w:r>
    </w:p>
    <w:p>
      <w:pPr>
        <w:spacing w:after="120" w:before="0" w:line="276"/>
        <w:jc w:val="left"/>
      </w:pPr>
      <w:r>
        <w:rPr>
          <w:rFonts w:ascii="Garamond" w:cs="Garamond" w:eastAsia="Garamond" w:hAnsi="Garamond"/>
          <w:b w:val="false"/>
          <w:bCs w:val="false"/>
          <w:i/>
          <w:iCs/>
          <w:color w:val="595959"/>
          <w:sz w:val="20"/>
          <w:szCs w:val="20"/>
        </w:rPr>
        <w:t xml:space="preserve">[Ouvrez la page IA.]</w:t>
      </w:r>
    </w:p>
    <w:p>
      <w:pPr>
        <w:spacing w:after="140" w:before="0" w:line="276"/>
        <w:jc w:val="both"/>
      </w:pPr>
      <w:r>
        <w:rPr>
          <w:rFonts w:ascii="Garamond" w:cs="Garamond" w:eastAsia="Garamond" w:hAnsi="Garamond"/>
          <w:b w:val="false"/>
          <w:bCs w:val="false"/>
          <w:i w:val="false"/>
          <w:iCs w:val="false"/>
          <w:color w:val="2B2B2B"/>
          <w:sz w:val="24"/>
          <w:szCs w:val="24"/>
        </w:rPr>
        <w:t xml:space="preserve">Parce que tout le monde n’a pas le temps de lire des graphiques, nous avons intégré un assistant conversationnel : FlowPort. On lui pose une question en langage naturel — « Quel est l’axe le plus chargé en ce moment ? », « À quelle heure éviter CARENA ? » — et il répond, à partir des données réelles du tableau de bord.</w:t>
      </w:r>
    </w:p>
    <w:p>
      <w:pPr>
        <w:spacing w:after="160" w:before="0" w:line="276"/>
        <w:jc w:val="both"/>
      </w:pPr>
      <w:r>
        <w:rPr>
          <w:rFonts w:ascii="Garamond" w:cs="Garamond" w:eastAsia="Garamond" w:hAnsi="Garamond"/>
          <w:b w:val="false"/>
          <w:bCs w:val="false"/>
          <w:i w:val="false"/>
          <w:iCs w:val="false"/>
          <w:color w:val="2B2B2B"/>
          <w:sz w:val="24"/>
          <w:szCs w:val="24"/>
        </w:rPr>
        <w:t xml:space="preserve">C’est propulsé par un grand modèle de langage, Llama 3.3, servi à très grande vitesse. Concrètement : </w:t>
      </w:r>
      <w:r>
        <w:rPr>
          <w:rFonts w:ascii="Garamond" w:cs="Garamond" w:eastAsia="Garamond" w:hAnsi="Garamond"/>
          <w:b/>
          <w:bCs/>
          <w:i w:val="false"/>
          <w:iCs w:val="false"/>
          <w:color w:val="2B2B2B"/>
          <w:sz w:val="24"/>
          <w:szCs w:val="24"/>
        </w:rPr>
        <w:t xml:space="preserve">le Port peut interroger ses propres données comme on interroge un collègue.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single" w:color="B9CDDC" w:sz="4"/>
              <w:left w:val="single" w:color="1A6FA8" w:sz="24"/>
              <w:bottom w:val="single" w:color="B9CDDC" w:sz="4"/>
              <w:right w:val="single" w:color="B9CDDC" w:sz="4"/>
            </w:tcBorders>
            <w:shd w:fill="E8F3FA" w:val="clear"/>
            <w:tcMar>
              <w:top w:type="dxa" w:w="110"/>
              <w:left w:type="dxa" w:w="160"/>
              <w:bottom w:type="dxa" w:w="110"/>
              <w:right w:type="dxa" w:w="160"/>
            </w:tcMar>
          </w:tcPr>
          <w:p>
            <w:pPr>
              <w:spacing w:after="60" w:line="276"/>
            </w:pPr>
            <w:r>
              <w:rPr>
                <w:rFonts w:ascii="Garamond" w:cs="Garamond" w:eastAsia="Garamond" w:hAnsi="Garamond"/>
                <w:b/>
                <w:bCs/>
                <w:color w:val="0E4C74"/>
                <w:sz w:val="22"/>
                <w:szCs w:val="22"/>
              </w:rPr>
              <w:t xml:space="preserve">⟶ RELAIS  Intervenant 3 → Intervenant 4</w:t>
            </w:r>
          </w:p>
          <w:p>
            <w:pPr>
              <w:spacing w:after="0" w:line="276"/>
            </w:pPr>
            <w:r>
              <w:rPr>
                <w:rFonts w:ascii="Garamond" w:cs="Garamond" w:eastAsia="Garamond" w:hAnsi="Garamond"/>
                <w:i/>
                <w:iCs/>
                <w:color w:val="2B2B2B"/>
                <w:sz w:val="22"/>
                <w:szCs w:val="22"/>
              </w:rPr>
              <w:t xml:space="preserve">L’intervenant 4 (le closer) prend la parole pour la dernière ligne droite. Transition : « Une solution pour une institution comme le Port ne peut pas s’arrêter à un bel écran… »</w:t>
            </w:r>
          </w:p>
        </w:tc>
      </w:tr>
    </w:tbl>
    <w:p>
      <w:pPr>
        <w:pStyle w:val="Titre1"/>
        <w:spacing w:after="200" w:before="360"/>
      </w:pPr>
      <w:r>
        <w:rPr>
          <w:rFonts w:ascii="Garamond" w:cs="Garamond" w:eastAsia="Garamond" w:hAnsi="Garamond"/>
        </w:rPr>
        <w:t xml:space="preserve">SÉQUENCE 7 — GOUVERNANCE : RAPPORTS OFFICIELS ET ADMINISTRATION</w:t>
      </w:r>
    </w:p>
    <w:p>
      <w:pPr>
        <w:spacing w:after="140" w:before="0" w:line="276"/>
        <w:jc w:val="left"/>
      </w:pPr>
      <w:r>
        <w:rPr>
          <w:rFonts w:ascii="Garamond" w:cs="Garamond" w:eastAsia="Garamond" w:hAnsi="Garamond"/>
          <w:b w:val="false"/>
          <w:bCs w:val="false"/>
          <w:i/>
          <w:iCs/>
          <w:color w:val="1A6FA8"/>
          <w:sz w:val="22"/>
          <w:szCs w:val="22"/>
        </w:rPr>
        <w:t xml:space="preserve">2 minutes · Intervenant 4</w:t>
      </w:r>
    </w:p>
    <w:p>
      <w:pPr>
        <w:spacing w:after="140" w:before="0" w:line="276"/>
        <w:jc w:val="both"/>
      </w:pPr>
      <w:r>
        <w:rPr>
          <w:rFonts w:ascii="Garamond" w:cs="Garamond" w:eastAsia="Garamond" w:hAnsi="Garamond"/>
          <w:b w:val="false"/>
          <w:bCs w:val="false"/>
          <w:i w:val="false"/>
          <w:iCs w:val="false"/>
          <w:color w:val="2B2B2B"/>
          <w:sz w:val="24"/>
          <w:szCs w:val="24"/>
        </w:rPr>
        <w:t xml:space="preserve">Une solution pour une institution comme le Port ne peut pas s’arrêter à un bel écran. Il faut des traces, des documents, du contrôle. Nous y avons pensé.</w:t>
      </w:r>
    </w:p>
    <w:p>
      <w:pPr>
        <w:pStyle w:val="Titre2"/>
        <w:spacing w:after="160" w:before="280"/>
      </w:pPr>
      <w:r>
        <w:rPr>
          <w:rFonts w:ascii="Garamond" w:cs="Garamond" w:eastAsia="Garamond" w:hAnsi="Garamond"/>
        </w:rPr>
        <w:t xml:space="preserve">7.1 · Les rapports officiels</w:t>
      </w:r>
    </w:p>
    <w:p>
      <w:pPr>
        <w:spacing w:after="140" w:before="0" w:line="276"/>
        <w:jc w:val="both"/>
      </w:pPr>
      <w:r>
        <w:rPr>
          <w:rFonts w:ascii="Garamond" w:cs="Garamond" w:eastAsia="Garamond" w:hAnsi="Garamond"/>
          <w:b w:val="false"/>
          <w:bCs w:val="false"/>
          <w:i w:val="false"/>
          <w:iCs w:val="false"/>
          <w:color w:val="2B2B2B"/>
          <w:sz w:val="24"/>
          <w:szCs w:val="24"/>
        </w:rPr>
        <w:t xml:space="preserve">En un clic, PortFlow génère un rapport complet du trafic — en PDF, Word et Excel — reprenant les mêmes chiffres réels, exactement. Et ces documents ne sont pas des exports bruts : ils sortent à la charte graphique officielle, avec la page de garde institutionnelle, prêts à être transmis à une hiérarchie ou archivés. Un rapport de PortFlow ressemble à un rapport du Port.</w:t>
      </w:r>
    </w:p>
    <w:p>
      <w:pPr>
        <w:pStyle w:val="Titre2"/>
        <w:spacing w:after="160" w:before="280"/>
      </w:pPr>
      <w:r>
        <w:rPr>
          <w:rFonts w:ascii="Garamond" w:cs="Garamond" w:eastAsia="Garamond" w:hAnsi="Garamond"/>
        </w:rPr>
        <w:t xml:space="preserve">7.2 · L’administration</w:t>
      </w:r>
    </w:p>
    <w:p>
      <w:pPr>
        <w:spacing w:after="120" w:before="0" w:line="276"/>
        <w:jc w:val="left"/>
      </w:pPr>
      <w:r>
        <w:rPr>
          <w:rFonts w:ascii="Garamond" w:cs="Garamond" w:eastAsia="Garamond" w:hAnsi="Garamond"/>
          <w:b w:val="false"/>
          <w:bCs w:val="false"/>
          <w:i/>
          <w:iCs/>
          <w:color w:val="595959"/>
          <w:sz w:val="20"/>
          <w:szCs w:val="20"/>
        </w:rPr>
        <w:t xml:space="preserve">〈option〉 [Page Admin.] Le système reste maître à bord. Un administrateur peut ajuster les axes, corriger un tracé directement sur la carte en déplaçant les points, gérer les seuils. PortFlow n’est pas une boîte noire figée — c’est un outil que le Port garde sous son propre contrôle. 〈/option〉</w:t>
      </w:r>
    </w:p>
    <w:p>
      <w:pPr>
        <w:pStyle w:val="Titre1"/>
        <w:spacing w:after="200" w:before="360"/>
      </w:pPr>
      <w:r>
        <w:rPr>
          <w:rFonts w:ascii="Garamond" w:cs="Garamond" w:eastAsia="Garamond" w:hAnsi="Garamond"/>
        </w:rPr>
        <w:t xml:space="preserve">SÉQUENCE 8 — L’IMPACT POUR LE PORT</w:t>
      </w:r>
    </w:p>
    <w:p>
      <w:pPr>
        <w:spacing w:after="140" w:before="0" w:line="276"/>
        <w:jc w:val="left"/>
      </w:pPr>
      <w:r>
        <w:rPr>
          <w:rFonts w:ascii="Garamond" w:cs="Garamond" w:eastAsia="Garamond" w:hAnsi="Garamond"/>
          <w:b w:val="false"/>
          <w:bCs w:val="false"/>
          <w:i/>
          <w:iCs/>
          <w:color w:val="1A6FA8"/>
          <w:sz w:val="22"/>
          <w:szCs w:val="22"/>
        </w:rPr>
        <w:t xml:space="preserve">3 minutes · Intervenant 4</w:t>
      </w:r>
    </w:p>
    <w:p>
      <w:pPr>
        <w:spacing w:after="120" w:before="0" w:line="276"/>
        <w:jc w:val="left"/>
      </w:pPr>
      <w:r>
        <w:rPr>
          <w:rFonts w:ascii="Garamond" w:cs="Garamond" w:eastAsia="Garamond" w:hAnsi="Garamond"/>
          <w:b w:val="false"/>
          <w:bCs w:val="false"/>
          <w:i/>
          <w:iCs/>
          <w:color w:val="595959"/>
          <w:sz w:val="20"/>
          <w:szCs w:val="20"/>
        </w:rPr>
        <w:t xml:space="preserve">[Ralentissez. C’est la séquence qui parle au Directeur Général. Regardez-le.]</w:t>
      </w:r>
    </w:p>
    <w:p>
      <w:pPr>
        <w:spacing w:after="140" w:before="0" w:line="276"/>
        <w:jc w:val="both"/>
      </w:pPr>
      <w:r>
        <w:rPr>
          <w:rFonts w:ascii="Garamond" w:cs="Garamond" w:eastAsia="Garamond" w:hAnsi="Garamond"/>
          <w:b w:val="false"/>
          <w:bCs w:val="false"/>
          <w:i w:val="false"/>
          <w:iCs w:val="false"/>
          <w:color w:val="2B2B2B"/>
          <w:sz w:val="24"/>
          <w:szCs w:val="24"/>
        </w:rPr>
        <w:t xml:space="preserve">Alors, qu’est-ce que PortFlow change, concrètement, pour le Port d’Abidjan ?</w:t>
      </w:r>
    </w:p>
    <w:p>
      <w:pPr>
        <w:spacing w:after="160" w:before="0" w:line="276"/>
        <w:jc w:val="both"/>
      </w:pPr>
      <w:r>
        <w:rPr>
          <w:rFonts w:ascii="Garamond" w:cs="Garamond" w:eastAsia="Garamond" w:hAnsi="Garamond"/>
          <w:b/>
          <w:bCs/>
          <w:i w:val="false"/>
          <w:iCs w:val="false"/>
          <w:color w:val="2B2B2B"/>
          <w:sz w:val="24"/>
          <w:szCs w:val="24"/>
        </w:rPr>
        <w:t xml:space="preserve">Un : on passe de la réaction à l’anticipation. </w:t>
      </w:r>
      <w:r>
        <w:rPr>
          <w:rFonts w:ascii="Garamond" w:cs="Garamond" w:eastAsia="Garamond" w:hAnsi="Garamond"/>
          <w:b w:val="false"/>
          <w:bCs w:val="false"/>
          <w:i w:val="false"/>
          <w:iCs w:val="false"/>
          <w:color w:val="2B2B2B"/>
          <w:sz w:val="24"/>
          <w:szCs w:val="24"/>
        </w:rPr>
        <w:t xml:space="preserve">Aujourd’hui, on constate l’embouteillage. Avec PortFlow, on le voit se former, et on agit avant qu’il ne bloque tout. Chaque convoi rerouté à temps, c’est du temps machine et du carburant économisés.</w:t>
      </w:r>
    </w:p>
    <w:p>
      <w:pPr>
        <w:spacing w:after="160" w:before="0" w:line="276"/>
        <w:jc w:val="both"/>
      </w:pPr>
      <w:r>
        <w:rPr>
          <w:rFonts w:ascii="Garamond" w:cs="Garamond" w:eastAsia="Garamond" w:hAnsi="Garamond"/>
          <w:b/>
          <w:bCs/>
          <w:i w:val="false"/>
          <w:iCs w:val="false"/>
          <w:color w:val="2B2B2B"/>
          <w:sz w:val="24"/>
          <w:szCs w:val="24"/>
        </w:rPr>
        <w:t xml:space="preserve">Deux : on décide sur des faits, plus sur des impressions. </w:t>
      </w:r>
      <w:r>
        <w:rPr>
          <w:rFonts w:ascii="Garamond" w:cs="Garamond" w:eastAsia="Garamond" w:hAnsi="Garamond"/>
          <w:b w:val="false"/>
          <w:bCs w:val="false"/>
          <w:i w:val="false"/>
          <w:iCs w:val="false"/>
          <w:color w:val="2B2B2B"/>
          <w:sz w:val="24"/>
          <w:szCs w:val="24"/>
        </w:rPr>
        <w:t xml:space="preserve">Fini le « il paraît que ça bouchonne à Vridi ». On a le chiffre, horodaté, sourcé. La décision devient défendable.</w:t>
      </w:r>
    </w:p>
    <w:p>
      <w:pPr>
        <w:spacing w:after="160" w:before="0" w:line="276"/>
        <w:jc w:val="both"/>
      </w:pPr>
      <w:r>
        <w:rPr>
          <w:rFonts w:ascii="Garamond" w:cs="Garamond" w:eastAsia="Garamond" w:hAnsi="Garamond"/>
          <w:b/>
          <w:bCs/>
          <w:i w:val="false"/>
          <w:iCs w:val="false"/>
          <w:color w:val="2B2B2B"/>
          <w:sz w:val="24"/>
          <w:szCs w:val="24"/>
        </w:rPr>
        <w:t xml:space="preserve">Trois : on rend visible un coût qui était invisible. </w:t>
      </w:r>
      <w:r>
        <w:rPr>
          <w:rFonts w:ascii="Garamond" w:cs="Garamond" w:eastAsia="Garamond" w:hAnsi="Garamond"/>
          <w:b w:val="false"/>
          <w:bCs w:val="false"/>
          <w:i w:val="false"/>
          <w:iCs w:val="false"/>
          <w:color w:val="2B2B2B"/>
          <w:sz w:val="24"/>
          <w:szCs w:val="24"/>
        </w:rPr>
        <w:t xml:space="preserve">En mesurant les minutes perdues axe par axe, on donne enfin au Port un indicateur qu’il pourra suivre, et donc améliorer. On ne pilote bien que ce que l’on mesure.</w:t>
      </w:r>
    </w:p>
    <w:p>
      <w:pPr>
        <w:spacing w:after="160" w:before="0" w:line="276"/>
        <w:jc w:val="both"/>
      </w:pPr>
      <w:r>
        <w:rPr>
          <w:rFonts w:ascii="Garamond" w:cs="Garamond" w:eastAsia="Garamond" w:hAnsi="Garamond"/>
          <w:b/>
          <w:bCs/>
          <w:i w:val="false"/>
          <w:iCs w:val="false"/>
          <w:color w:val="2B2B2B"/>
          <w:sz w:val="24"/>
          <w:szCs w:val="24"/>
        </w:rPr>
        <w:t xml:space="preserve">Quatre : c’est déployable immédiatement. </w:t>
      </w:r>
      <w:r>
        <w:rPr>
          <w:rFonts w:ascii="Garamond" w:cs="Garamond" w:eastAsia="Garamond" w:hAnsi="Garamond"/>
          <w:b w:val="false"/>
          <w:bCs w:val="false"/>
          <w:i w:val="false"/>
          <w:iCs w:val="false"/>
          <w:color w:val="2B2B2B"/>
          <w:sz w:val="24"/>
          <w:szCs w:val="24"/>
        </w:rPr>
        <w:t xml:space="preserve">PortFlow tourne dans un simple navigateur. Pas de matériel à installer sur les routes, pas de capteurs, pas de travaux. La donnée existe déjà — nous, on la rend utile. Le coût d’entrée est proche de zéro.</w:t>
      </w:r>
    </w:p>
    <w:p>
      <w:pPr>
        <w:spacing w:after="120" w:before="0" w:line="276"/>
        <w:jc w:val="left"/>
      </w:pPr>
      <w:r>
        <w:rPr>
          <w:rFonts w:ascii="Garamond" w:cs="Garamond" w:eastAsia="Garamond" w:hAnsi="Garamond"/>
          <w:b w:val="false"/>
          <w:bCs w:val="false"/>
          <w:i/>
          <w:iCs/>
          <w:color w:val="595959"/>
          <w:sz w:val="20"/>
          <w:szCs w:val="20"/>
        </w:rPr>
        <w:t xml:space="preserve">〈option〉 Un point stratégique : un Port qui pilote sa fluidité, c’est un Port plus compétitif. Dans une région où les corridors se disputent les flux, la fluidité est un argument commercial. 〈/option〉</w:t>
      </w:r>
    </w:p>
    <w:p>
      <w:pPr>
        <w:pStyle w:val="Titre1"/>
        <w:spacing w:after="200" w:before="360"/>
      </w:pPr>
      <w:r>
        <w:rPr>
          <w:rFonts w:ascii="Garamond" w:cs="Garamond" w:eastAsia="Garamond" w:hAnsi="Garamond"/>
        </w:rPr>
        <w:t xml:space="preserve">SÉQUENCE 9 — PERSPECTIVES</w:t>
      </w:r>
    </w:p>
    <w:p>
      <w:pPr>
        <w:spacing w:after="140" w:before="0" w:line="276"/>
        <w:jc w:val="left"/>
      </w:pPr>
      <w:r>
        <w:rPr>
          <w:rFonts w:ascii="Garamond" w:cs="Garamond" w:eastAsia="Garamond" w:hAnsi="Garamond"/>
          <w:b w:val="false"/>
          <w:bCs w:val="false"/>
          <w:i/>
          <w:iCs/>
          <w:color w:val="1A6FA8"/>
          <w:sz w:val="22"/>
          <w:szCs w:val="22"/>
        </w:rPr>
        <w:t xml:space="preserve">2 minutes · Intervenant 4</w:t>
      </w:r>
    </w:p>
    <w:p>
      <w:pPr>
        <w:spacing w:after="140" w:before="0" w:line="276"/>
        <w:jc w:val="both"/>
      </w:pPr>
      <w:r>
        <w:rPr>
          <w:rFonts w:ascii="Garamond" w:cs="Garamond" w:eastAsia="Garamond" w:hAnsi="Garamond"/>
          <w:b w:val="false"/>
          <w:bCs w:val="false"/>
          <w:i w:val="false"/>
          <w:iCs w:val="false"/>
          <w:color w:val="2B2B2B"/>
          <w:sz w:val="24"/>
          <w:szCs w:val="24"/>
        </w:rPr>
        <w:t xml:space="preserve">PortFlow existe, il fonctionne, il est devant vous. Mais nous voyons trois chemins pour aller plus loin :</w:t>
      </w:r>
    </w:p>
    <w:p>
      <w:pPr>
        <w:spacing w:after="160" w:before="0" w:line="276"/>
        <w:jc w:val="both"/>
      </w:pPr>
      <w:r>
        <w:rPr>
          <w:rFonts w:ascii="Garamond" w:cs="Garamond" w:eastAsia="Garamond" w:hAnsi="Garamond"/>
          <w:b/>
          <w:bCs/>
          <w:i w:val="false"/>
          <w:iCs w:val="false"/>
          <w:color w:val="2B2B2B"/>
          <w:sz w:val="24"/>
          <w:szCs w:val="24"/>
        </w:rPr>
        <w:t xml:space="preserve">Étendre la couverture — </w:t>
      </w:r>
      <w:r>
        <w:rPr>
          <w:rFonts w:ascii="Garamond" w:cs="Garamond" w:eastAsia="Garamond" w:hAnsi="Garamond"/>
          <w:b w:val="false"/>
          <w:bCs w:val="false"/>
          <w:i w:val="false"/>
          <w:iCs w:val="false"/>
          <w:color w:val="2B2B2B"/>
          <w:sz w:val="24"/>
          <w:szCs w:val="24"/>
        </w:rPr>
        <w:t xml:space="preserve">passer de trois axes à l’ensemble du réseau portuaire, et même au niveau plus fin des tronçons, que le système gère déjà.</w:t>
      </w:r>
    </w:p>
    <w:p>
      <w:pPr>
        <w:spacing w:after="160" w:before="0" w:line="276"/>
        <w:jc w:val="both"/>
      </w:pPr>
      <w:r>
        <w:rPr>
          <w:rFonts w:ascii="Garamond" w:cs="Garamond" w:eastAsia="Garamond" w:hAnsi="Garamond"/>
          <w:b/>
          <w:bCs/>
          <w:i w:val="false"/>
          <w:iCs w:val="false"/>
          <w:color w:val="2B2B2B"/>
          <w:sz w:val="24"/>
          <w:szCs w:val="24"/>
        </w:rPr>
        <w:t xml:space="preserve">Muscler la prédiction — </w:t>
      </w:r>
      <w:r>
        <w:rPr>
          <w:rFonts w:ascii="Garamond" w:cs="Garamond" w:eastAsia="Garamond" w:hAnsi="Garamond"/>
          <w:b w:val="false"/>
          <w:bCs w:val="false"/>
          <w:i w:val="false"/>
          <w:iCs w:val="false"/>
          <w:color w:val="2B2B2B"/>
          <w:sz w:val="24"/>
          <w:szCs w:val="24"/>
        </w:rPr>
        <w:t xml:space="preserve">laisser la collecte automatique enrichir le modèle jusqu’à des prévisions fiables à l’heure près, puis déclencher des alertes anticipées : prévenir avant que le rouge n’apparaisse.</w:t>
      </w:r>
    </w:p>
    <w:p>
      <w:pPr>
        <w:spacing w:after="160" w:before="0" w:line="276"/>
        <w:jc w:val="both"/>
      </w:pPr>
      <w:r>
        <w:rPr>
          <w:rFonts w:ascii="Garamond" w:cs="Garamond" w:eastAsia="Garamond" w:hAnsi="Garamond"/>
          <w:b/>
          <w:bCs/>
          <w:i w:val="false"/>
          <w:iCs w:val="false"/>
          <w:color w:val="2B2B2B"/>
          <w:sz w:val="24"/>
          <w:szCs w:val="24"/>
        </w:rPr>
        <w:t xml:space="preserve">Connecter PortFlow aux opérations — </w:t>
      </w:r>
      <w:r>
        <w:rPr>
          <w:rFonts w:ascii="Garamond" w:cs="Garamond" w:eastAsia="Garamond" w:hAnsi="Garamond"/>
          <w:b w:val="false"/>
          <w:bCs w:val="false"/>
          <w:i w:val="false"/>
          <w:iCs w:val="false"/>
          <w:color w:val="2B2B2B"/>
          <w:sz w:val="24"/>
          <w:szCs w:val="24"/>
        </w:rPr>
        <w:t xml:space="preserve">relier ces alertes aux transporteurs et au poste de commandement, pour que l’information ne s’arrête pas à l’écran mais déclenche une action.</w:t>
      </w:r>
    </w:p>
    <w:p>
      <w:pPr>
        <w:spacing w:after="160" w:before="0" w:line="276"/>
        <w:jc w:val="both"/>
      </w:pPr>
      <w:r>
        <w:rPr>
          <w:rFonts w:ascii="Garamond" w:cs="Garamond" w:eastAsia="Garamond" w:hAnsi="Garamond"/>
          <w:b w:val="false"/>
          <w:bCs w:val="false"/>
          <w:i w:val="false"/>
          <w:iCs w:val="false"/>
          <w:color w:val="2B2B2B"/>
          <w:sz w:val="24"/>
          <w:szCs w:val="24"/>
        </w:rPr>
        <w:t xml:space="preserve">Autrement dit, ce que vous voyez aujourd’hui n’est pas un aboutissement. C’est </w:t>
      </w:r>
      <w:r>
        <w:rPr>
          <w:rFonts w:ascii="Garamond" w:cs="Garamond" w:eastAsia="Garamond" w:hAnsi="Garamond"/>
          <w:b/>
          <w:bCs/>
          <w:i w:val="false"/>
          <w:iCs w:val="false"/>
          <w:color w:val="2B2B2B"/>
          <w:sz w:val="24"/>
          <w:szCs w:val="24"/>
        </w:rPr>
        <w:t xml:space="preserve">une fondation solide, déjà opérationnelle,</w:t>
      </w:r>
      <w:r>
        <w:rPr>
          <w:rFonts w:ascii="Garamond" w:cs="Garamond" w:eastAsia="Garamond" w:hAnsi="Garamond"/>
          <w:b w:val="false"/>
          <w:bCs w:val="false"/>
          <w:i w:val="false"/>
          <w:iCs w:val="false"/>
          <w:color w:val="2B2B2B"/>
          <w:sz w:val="24"/>
          <w:szCs w:val="24"/>
        </w:rPr>
        <w:t xml:space="preserve"> sur laquelle on peut bâtir.</w:t>
      </w:r>
    </w:p>
    <w:p>
      <w:pPr>
        <w:pStyle w:val="Titre1"/>
        <w:spacing w:after="200" w:before="360"/>
      </w:pPr>
      <w:r>
        <w:rPr>
          <w:rFonts w:ascii="Garamond" w:cs="Garamond" w:eastAsia="Garamond" w:hAnsi="Garamond"/>
        </w:rPr>
        <w:t xml:space="preserve">SÉQUENCE 10 — CLÔTURE ET APPEL À DÉCISION</w:t>
      </w:r>
    </w:p>
    <w:p>
      <w:pPr>
        <w:spacing w:after="140" w:before="0" w:line="276"/>
        <w:jc w:val="left"/>
      </w:pPr>
      <w:r>
        <w:rPr>
          <w:rFonts w:ascii="Garamond" w:cs="Garamond" w:eastAsia="Garamond" w:hAnsi="Garamond"/>
          <w:b w:val="false"/>
          <w:bCs w:val="false"/>
          <w:i/>
          <w:iCs/>
          <w:color w:val="1A6FA8"/>
          <w:sz w:val="22"/>
          <w:szCs w:val="22"/>
        </w:rPr>
        <w:t xml:space="preserve">~2 minutes · Intervenant 4</w:t>
      </w:r>
    </w:p>
    <w:p>
      <w:pPr>
        <w:spacing w:after="120" w:before="0" w:line="276"/>
        <w:jc w:val="left"/>
      </w:pPr>
      <w:r>
        <w:rPr>
          <w:rFonts w:ascii="Garamond" w:cs="Garamond" w:eastAsia="Garamond" w:hAnsi="Garamond"/>
          <w:b w:val="false"/>
          <w:bCs w:val="false"/>
          <w:i/>
          <w:iCs/>
          <w:color w:val="595959"/>
          <w:sz w:val="20"/>
          <w:szCs w:val="20"/>
        </w:rPr>
        <w:t xml:space="preserve">[Revenez au chauffeur de l’ouverture. Fermez la boucle. C’est ce que la salle retiendra.]</w:t>
      </w:r>
    </w:p>
    <w:p>
      <w:pPr>
        <w:spacing w:after="140" w:before="0" w:line="276"/>
        <w:jc w:val="both"/>
      </w:pPr>
      <w:r>
        <w:rPr>
          <w:rFonts w:ascii="Garamond" w:cs="Garamond" w:eastAsia="Garamond" w:hAnsi="Garamond"/>
          <w:b w:val="false"/>
          <w:bCs w:val="false"/>
          <w:i w:val="false"/>
          <w:iCs w:val="false"/>
          <w:color w:val="2B2B2B"/>
          <w:sz w:val="24"/>
          <w:szCs w:val="24"/>
        </w:rPr>
        <w:t xml:space="preserve">Revenons à notre camion du début. 7 h 40, il sort de CARENA.</w:t>
      </w:r>
    </w:p>
    <w:p>
      <w:pPr>
        <w:spacing w:after="140" w:before="0" w:line="276"/>
        <w:jc w:val="both"/>
      </w:pPr>
      <w:r>
        <w:rPr>
          <w:rFonts w:ascii="Garamond" w:cs="Garamond" w:eastAsia="Garamond" w:hAnsi="Garamond"/>
          <w:b w:val="false"/>
          <w:bCs w:val="false"/>
          <w:i w:val="false"/>
          <w:iCs w:val="false"/>
          <w:color w:val="2B2B2B"/>
          <w:sz w:val="24"/>
          <w:szCs w:val="24"/>
        </w:rPr>
        <w:t xml:space="preserve">Avec PortFlow, avant même de démarrer, l’exploitant voit l’axe passer à l’orange. Il temporise dix minutes, ou il bascule sur SODECI. Le chauffeur arrive à Palm Beach en vingt-sept minutes, comme prévu.</w:t>
      </w:r>
    </w:p>
    <w:p>
      <w:pPr>
        <w:spacing w:after="160" w:before="0" w:line="276"/>
        <w:jc w:val="both"/>
      </w:pPr>
      <w:r>
        <w:rPr>
          <w:rFonts w:ascii="Garamond" w:cs="Garamond" w:eastAsia="Garamond" w:hAnsi="Garamond"/>
          <w:b w:val="false"/>
          <w:bCs w:val="false"/>
          <w:i w:val="false"/>
          <w:iCs w:val="false"/>
          <w:color w:val="2B2B2B"/>
          <w:sz w:val="24"/>
          <w:szCs w:val="24"/>
        </w:rPr>
        <w:t xml:space="preserve">La donnée était là depuis le début. Tout ce qui manquait, c’était </w:t>
      </w:r>
      <w:r>
        <w:rPr>
          <w:rFonts w:ascii="Garamond" w:cs="Garamond" w:eastAsia="Garamond" w:hAnsi="Garamond"/>
          <w:b/>
          <w:bCs/>
          <w:i w:val="false"/>
          <w:iCs w:val="false"/>
          <w:color w:val="2B2B2B"/>
          <w:sz w:val="24"/>
          <w:szCs w:val="24"/>
        </w:rPr>
        <w:t xml:space="preserve">les yeux pour la voir.</w:t>
      </w:r>
      <w:r>
        <w:rPr>
          <w:rFonts w:ascii="Garamond" w:cs="Garamond" w:eastAsia="Garamond" w:hAnsi="Garamond"/>
          <w:b w:val="false"/>
          <w:bCs w:val="false"/>
          <w:i w:val="false"/>
          <w:iCs w:val="false"/>
          <w:color w:val="2B2B2B"/>
          <w:sz w:val="24"/>
          <w:szCs w:val="24"/>
        </w:rPr>
        <w:t xml:space="preserve"> Ces yeux, aujourd’hui, existent. Ils s’appellent PortFlow.</w:t>
      </w:r>
    </w:p>
    <w:p>
      <w:pPr>
        <w:spacing w:after="160" w:before="0" w:line="276"/>
        <w:jc w:val="both"/>
      </w:pPr>
      <w:r>
        <w:rPr>
          <w:rFonts w:ascii="Garamond" w:cs="Garamond" w:eastAsia="Garamond" w:hAnsi="Garamond"/>
          <w:b w:val="false"/>
          <w:bCs w:val="false"/>
          <w:i w:val="false"/>
          <w:iCs w:val="false"/>
          <w:color w:val="2B2B2B"/>
          <w:sz w:val="24"/>
          <w:szCs w:val="24"/>
        </w:rPr>
        <w:t xml:space="preserve">Monsieur le Directeur, mesdames et messieurs du jury — nous ne vous proposons pas une maquette. Nous vous proposons un outil </w:t>
      </w:r>
      <w:r>
        <w:rPr>
          <w:rFonts w:ascii="Garamond" w:cs="Garamond" w:eastAsia="Garamond" w:hAnsi="Garamond"/>
          <w:b/>
          <w:bCs/>
          <w:i w:val="false"/>
          <w:iCs w:val="false"/>
          <w:color w:val="2B2B2B"/>
          <w:sz w:val="24"/>
          <w:szCs w:val="24"/>
        </w:rPr>
        <w:t xml:space="preserve">qui tourne, qui se nourrit tout seul, et qui n’attend qu’une chose : servir le Port.</w:t>
      </w:r>
    </w:p>
    <w:p>
      <w:pPr>
        <w:spacing w:after="140" w:before="0" w:line="276"/>
        <w:jc w:val="both"/>
      </w:pPr>
      <w:r>
        <w:rPr>
          <w:rFonts w:ascii="Garamond" w:cs="Garamond" w:eastAsia="Garamond" w:hAnsi="Garamond"/>
          <w:b w:val="false"/>
          <w:bCs w:val="false"/>
          <w:i w:val="false"/>
          <w:iCs w:val="false"/>
          <w:color w:val="2B2B2B"/>
          <w:sz w:val="24"/>
          <w:szCs w:val="24"/>
        </w:rPr>
        <w:t xml:space="preserve">Je vous remercie. Nous sommes à votre entière disposition pour vos questions.</w:t>
      </w:r>
    </w:p>
    <w:p>
      <w:pPr>
        <w:pStyle w:val="Titre1"/>
        <w:spacing w:after="200" w:before="360"/>
      </w:pPr>
      <w:r>
        <w:rPr>
          <w:rFonts w:ascii="Garamond" w:cs="Garamond" w:eastAsia="Garamond" w:hAnsi="Garamond"/>
        </w:rPr>
        <w:t xml:space="preserve">ANNEXE — QUESTIONS PROBABLES ET RÉPONSES COURTES</w:t>
      </w:r>
    </w:p>
    <w:p>
      <w:pPr>
        <w:spacing w:after="120" w:before="0" w:line="276"/>
        <w:jc w:val="left"/>
      </w:pPr>
      <w:r>
        <w:rPr>
          <w:rFonts w:ascii="Garamond" w:cs="Garamond" w:eastAsia="Garamond" w:hAnsi="Garamond"/>
          <w:b w:val="false"/>
          <w:bCs w:val="false"/>
          <w:i/>
          <w:iCs/>
          <w:color w:val="595959"/>
          <w:sz w:val="20"/>
          <w:szCs w:val="20"/>
        </w:rPr>
        <w:t xml:space="preserve">[À relire juste avant. Réponses de 20 secondes maximum, calmes. Chacun répond sur son domaine.]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Question du jury</w:t>
            </w:r>
          </w:p>
        </w:tc>
        <w:tc>
          <w:tcPr>
            <w:tcBorders>
              <w:top w:val="single" w:color="B9CDDC" w:sz="4"/>
              <w:left w:val="single" w:color="B9CDDC" w:sz="4"/>
              <w:bottom w:val="single" w:color="B9CDDC" w:sz="4"/>
              <w:right w:val="single" w:color="B9CDDC" w:sz="4"/>
            </w:tcBorders>
            <w:shd w:fill="0E4C74" w:val="clear"/>
            <w:tcMar>
              <w:top w:type="dxa" w:w="70"/>
              <w:left w:type="dxa" w:w="110"/>
              <w:bottom w:type="dxa" w:w="70"/>
              <w:right w:type="dxa" w:w="110"/>
            </w:tcMar>
            <w:vAlign w:val="center"/>
          </w:tcPr>
          <w:p>
            <w:pPr>
              <w:spacing w:after="0"/>
              <w:jc w:val="center"/>
            </w:pPr>
            <w:r>
              <w:rPr>
                <w:rFonts w:ascii="Garamond" w:cs="Garamond" w:eastAsia="Garamond" w:hAnsi="Garamond"/>
                <w:b/>
                <w:bCs/>
                <w:color w:val="FFFFFF"/>
                <w:sz w:val="22"/>
                <w:szCs w:val="22"/>
              </w:rPr>
              <w:t xml:space="preserve">Réponse courte</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La précision du modèle n’est que de 80 % ?</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C’est une preuve de concept honnête, sur nos premières données. Le point clé : la collecte automatique enrichit la base en continu, la précision est faite pour monter, sans réintervention.</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Vos données viennent de TomTom, pas de vos propres capteurs.</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Exactement, et c’est un choix : zéro matériel à déployer, une source déjà validée par l’industrie de la navigation. Nous transformons une donnée existante en décision — c’est là qu’est notre valeur.</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Combien ça coûte à faire tourner ?</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L’infrastructure repose sur des services cloud à très faible coût et une collecte automatisée. Pas d’investissement lourd : le coût d’entrée est proche de zéro.</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Pourquoi seulement trois axes ?</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Ce sont trois axes stratégiques choisis pour la démonstration. L’architecture est prévue pour en ajouter à volonté, jusqu’aux tronçons — c’est déjà dans le système.</w:t>
            </w:r>
          </w:p>
        </w:tc>
      </w:tr>
      <w:tr>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En quoi c’est différent de Google Maps ?</w:t>
            </w:r>
          </w:p>
        </w:tc>
        <w:tc>
          <w:tcPr>
            <w:tcBorders>
              <w:top w:val="single" w:color="B9CDDC" w:sz="4"/>
              <w:left w:val="single" w:color="B9CDDC" w:sz="4"/>
              <w:bottom w:val="single" w:color="B9CDDC" w:sz="4"/>
              <w:right w:val="single" w:color="B9CDDC" w:sz="4"/>
            </w:tcBorders>
            <w:shd w:fill="FFFFFF"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Google Maps répond à un conducteur isolé. PortFlow donne au Port une vue institutionnelle de ses axes : historique, seuils, rapports officiels, prédiction, administration. C’est un outil de pilotage, pas un GPS.</w:t>
            </w:r>
          </w:p>
        </w:tc>
      </w:tr>
      <w:tr>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bCs/>
                <w:color w:val="2B2B2B"/>
                <w:sz w:val="22"/>
                <w:szCs w:val="22"/>
              </w:rPr>
              <w:t xml:space="preserve">Est-ce fiable si Internet tombe ?</w:t>
            </w:r>
          </w:p>
        </w:tc>
        <w:tc>
          <w:tcPr>
            <w:tcBorders>
              <w:top w:val="single" w:color="B9CDDC" w:sz="4"/>
              <w:left w:val="single" w:color="B9CDDC" w:sz="4"/>
              <w:bottom w:val="single" w:color="B9CDDC" w:sz="4"/>
              <w:right w:val="single" w:color="B9CDDC" w:sz="4"/>
            </w:tcBorders>
            <w:shd w:fill="E8F3FA" w:val="clear"/>
            <w:tcMar>
              <w:top w:type="dxa" w:w="70"/>
              <w:left w:type="dxa" w:w="110"/>
              <w:bottom w:type="dxa" w:w="70"/>
              <w:right w:type="dxa" w:w="110"/>
            </w:tcMar>
            <w:vAlign w:val="center"/>
          </w:tcPr>
          <w:p>
            <w:pPr>
              <w:spacing w:after="0"/>
              <w:jc w:val="left"/>
            </w:pPr>
            <w:r>
              <w:rPr>
                <w:rFonts w:ascii="Garamond" w:cs="Garamond" w:eastAsia="Garamond" w:hAnsi="Garamond"/>
                <w:b w:val="false"/>
                <w:bCs w:val="false"/>
                <w:color w:val="2B2B2B"/>
                <w:sz w:val="22"/>
                <w:szCs w:val="22"/>
              </w:rPr>
              <w:t xml:space="preserve">Le système a une source de secours pour la collecte, un repli sur les tracés de référence, et il affiche toujours la fraîcheur de la donnée. On ne montre jamais un chiffre sans dire de quand il date.</w:t>
            </w:r>
          </w:p>
        </w:tc>
      </w:tr>
    </w:tbl>
    <w:sectPr w:rsidR="00115918">
      <w:footerReference w:type="default" r:id="rId100"/>
      <w:footerReference w:type="first" r:id="rId27"/>
      <w:pgSz w:w="11906" w:h="16838"/>
      <w:pgMar w:top="1417" w:right="1417" w:bottom="1417" w:left="1417" w:header="708" w:footer="708" w:gutter="0"/>
      <w:pgBorders w:offsetFrom="page">
        <w:top w:val="double" w:sz="18" w:space="24" w:color="0E4C74"/>
        <w:left w:val="double" w:sz="18" w:space="24" w:color="0E4C74"/>
        <w:bottom w:val="double" w:sz="18" w:space="24" w:color="0E4C74"/>
        <w:right w:val="double" w:sz="18" w:space="24" w:color="0E4C74"/>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A8368" w14:textId="77777777" w:rsidR="00B750A1" w:rsidRDefault="00B750A1">
      <w:pPr>
        <w:spacing w:after="0" w:line="240" w:lineRule="auto"/>
      </w:pPr>
      <w:r>
        <w:separator/>
      </w:r>
    </w:p>
  </w:endnote>
  <w:endnote w:type="continuationSeparator" w:id="0">
    <w:p w14:paraId="55F24460" w14:textId="77777777" w:rsidR="00B750A1" w:rsidRDefault="00B75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system-fon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E362" w14:textId="77777777" w:rsidR="00000000" w:rsidRDefault="00000000">
    <w:pPr>
      <w:pStyle w:val="Pieddepage"/>
    </w:pPr>
    <w:r>
      <w:rPr>
        <w:rFonts w:ascii="Arial" w:eastAsia="Arial" w:hAnsi="Arial" w:cs="Arial"/>
        <w:b/>
        <w:bCs/>
        <w:noProof/>
        <w:color w:val="075FA7"/>
        <w:sz w:val="15"/>
        <w:szCs w:val="15"/>
        <w:lang w:val="fr-FR" w:eastAsia="fr-FR"/>
      </w:rPr>
      <mc:AlternateContent>
        <mc:Choice Requires="wps">
          <w:drawing>
            <wp:anchor distT="0" distB="0" distL="114300" distR="114300" simplePos="0" relativeHeight="251659264" behindDoc="0" locked="0" layoutInCell="1" allowOverlap="1" wp14:anchorId="1A1C26D9" wp14:editId="450AFFCA">
              <wp:simplePos x="0" y="0"/>
              <wp:positionH relativeFrom="margin">
                <wp:posOffset>-251460</wp:posOffset>
              </wp:positionH>
              <wp:positionV relativeFrom="paragraph">
                <wp:posOffset>-259076</wp:posOffset>
              </wp:positionV>
              <wp:extent cx="6457949" cy="512448"/>
              <wp:effectExtent l="0" t="0" r="0" b="1902"/>
              <wp:wrapNone/>
              <wp:docPr id="51518553" name="Zone de texte 190377056"/>
              <wp:cNvGraphicFramePr/>
              <a:graphic xmlns:a="http://schemas.openxmlformats.org/drawingml/2006/main">
                <a:graphicData uri="http://schemas.microsoft.com/office/word/2010/wordprocessingShape">
                  <wps:wsp>
                    <wps:cNvSpPr txBox="1"/>
                    <wps:spPr>
                      <a:xfrm>
                        <a:off x="0" y="0"/>
                        <a:ext cx="6457949" cy="512448"/>
                      </a:xfrm>
                      <a:prstGeom prst="rect">
                        <a:avLst/>
                      </a:prstGeom>
                      <a:noFill/>
                      <a:ln>
                        <a:noFill/>
                        <a:prstDash/>
                      </a:ln>
                    </wps:spPr>
                    <wps:txbx>
                      <w:txbxContent>
                        <w:p w14:paraId="209816CC" w14:textId="77777777" w:rsidR="00000000" w:rsidRDefault="00000000">
                          <w:pPr>
                            <w:jc w:val="center"/>
                          </w:pPr>
                          <w:r>
                            <w:rPr>
                              <w:rFonts w:ascii="-apple-system-font" w:hAnsi="-apple-system-font"/>
                              <w:b/>
                              <w:bCs/>
                              <w:color w:val="0F4791"/>
                              <w:sz w:val="13"/>
                              <w:szCs w:val="17"/>
                            </w:rPr>
                            <w:t>Port Autonome d'Abidjan, Société d'État</w:t>
                          </w:r>
                          <w:r>
                            <w:rPr>
                              <w:rFonts w:ascii="-apple-system-font" w:hAnsi="-apple-system-font"/>
                              <w:color w:val="0F4791"/>
                              <w:sz w:val="13"/>
                              <w:szCs w:val="17"/>
                            </w:rPr>
                            <w:t xml:space="preserve"> au capital de </w:t>
                          </w:r>
                          <w:r>
                            <w:rPr>
                              <w:rFonts w:ascii="-apple-system-font" w:hAnsi="-apple-system-font"/>
                              <w:b/>
                              <w:bCs/>
                              <w:color w:val="0F4791"/>
                              <w:sz w:val="13"/>
                              <w:szCs w:val="17"/>
                            </w:rPr>
                            <w:t>100.000.000.000 F CFA</w:t>
                          </w:r>
                          <w:r>
                            <w:rPr>
                              <w:rFonts w:ascii="-apple-system-font" w:hAnsi="-apple-system-font"/>
                              <w:color w:val="0F4791"/>
                              <w:sz w:val="13"/>
                              <w:szCs w:val="17"/>
                            </w:rPr>
                            <w:t xml:space="preserve">, </w:t>
                          </w:r>
                          <w:r>
                            <w:rPr>
                              <w:rFonts w:ascii="-apple-system-font" w:hAnsi="-apple-system-font"/>
                              <w:b/>
                              <w:bCs/>
                              <w:color w:val="0F4791"/>
                              <w:sz w:val="13"/>
                              <w:szCs w:val="17"/>
                            </w:rPr>
                            <w:t>régie par la loi n°2020-626 du 14 Août 2020</w:t>
                          </w:r>
                          <w:r>
                            <w:rPr>
                              <w:rFonts w:ascii="-apple-system-font" w:hAnsi="-apple-system-font"/>
                              <w:color w:val="0F4791"/>
                              <w:sz w:val="13"/>
                              <w:szCs w:val="17"/>
                            </w:rPr>
                            <w:t xml:space="preserve"> portant définition et organisation des Sociétés d'État et par le </w:t>
                          </w:r>
                          <w:r>
                            <w:rPr>
                              <w:rFonts w:ascii="-apple-system-font" w:hAnsi="-apple-system-font"/>
                              <w:b/>
                              <w:bCs/>
                              <w:color w:val="0F4791"/>
                              <w:sz w:val="13"/>
                              <w:szCs w:val="17"/>
                            </w:rPr>
                            <w:t>décret n° 092-940</w:t>
                          </w:r>
                          <w:r>
                            <w:rPr>
                              <w:rFonts w:ascii="-apple-system-font" w:hAnsi="-apple-system-font"/>
                              <w:color w:val="0F4791"/>
                              <w:sz w:val="13"/>
                              <w:szCs w:val="17"/>
                            </w:rPr>
                            <w:t xml:space="preserve"> du 23 décembre 1992 portant transformation du Port Autonome d'Abidjan (P.A.A) en Société d'État, dont le siège social est sis à                              Abidjan-Treichville, Rue A22 des Piroguiers, Boulevard du Port, adresse : BP V85 Abidjan et immatriculée au RCCM sous le numéro</w:t>
                          </w:r>
                          <w:r>
                            <w:rPr>
                              <w:rFonts w:ascii="-apple-system-font" w:hAnsi="-apple-system-font"/>
                              <w:b/>
                              <w:bCs/>
                              <w:color w:val="0F4791"/>
                              <w:sz w:val="13"/>
                              <w:szCs w:val="17"/>
                            </w:rPr>
                            <w:t xml:space="preserve"> CI-ABJ-03-2021-M-00928</w:t>
                          </w:r>
                          <w:r>
                            <w:rPr>
                              <w:rFonts w:ascii="-apple-system-font" w:hAnsi="-apple-system-font"/>
                              <w:color w:val="0F4791"/>
                              <w:sz w:val="13"/>
                              <w:szCs w:val="17"/>
                            </w:rPr>
                            <w:t xml:space="preserve">,                                                    </w:t>
                          </w:r>
                          <w:r>
                            <w:rPr>
                              <w:rFonts w:ascii="-apple-system-font" w:hAnsi="-apple-system-font"/>
                              <w:b/>
                              <w:bCs/>
                              <w:color w:val="0F4791"/>
                              <w:sz w:val="13"/>
                              <w:szCs w:val="17"/>
                            </w:rPr>
                            <w:t>Tél : 27-21-23-80-00, Téléfax : 27-21-23-80-80, Web : www.portabidjan.ci</w:t>
                          </w:r>
                        </w:p>
                        <w:p w14:paraId="05AF5EDD" w14:textId="77777777" w:rsidR="00000000" w:rsidRDefault="00000000">
                          <w:pPr>
                            <w:jc w:val="center"/>
                            <w:rPr>
                              <w:color w:val="0F4791"/>
                              <w:sz w:val="17"/>
                              <w:szCs w:val="17"/>
                            </w:rPr>
                          </w:pPr>
                        </w:p>
                      </w:txbxContent>
                    </wps:txbx>
                    <wps:bodyPr vert="horz" wrap="square" lIns="91440" tIns="45720" rIns="91440" bIns="45720" anchor="t" anchorCtr="0" compatLnSpc="1">
                      <a:noAutofit/>
                    </wps:bodyPr>
                  </wps:wsp>
                </a:graphicData>
              </a:graphic>
            </wp:anchor>
          </w:drawing>
        </mc:Choice>
        <mc:Fallback>
          <w:pict>
            <v:shapetype w14:anchorId="1A1C26D9" id="_x0000_t202" coordsize="21600,21600" o:spt="202" path="m,l,21600r21600,l21600,xe">
              <v:stroke joinstyle="miter"/>
              <v:path gradientshapeok="t" o:connecttype="rect"/>
            </v:shapetype>
            <v:shape id="Zone de texte 190377056" o:spid="_x0000_s1029" type="#_x0000_t202" style="position:absolute;margin-left:-19.8pt;margin-top:-20.4pt;width:508.5pt;height:40.3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OVpdugEAAGwDAAAOAAAAZHJzL2Uyb0RvYy54bWysU9tuGyEQfa/Uf0C819jWJo1XXkdtrFSV ojaS0w/ALHiRgCGAvet+fQfWsa30reoLOzeGc87MLu8Ha8hBhqjBNXQ2mVIinYBWu11Df708frqj JCbuWm7AyYYeZaT3q48flr2v5Rw6MK0MBJu4WPe+oV1KvmYsik5aHifgpcOkgmB5QjfsWBt4j92t YfPp9Jb1EFofQMgYMboek3RV+islRfqpVJSJmIYitlTOUM5tPtlqyetd4L7T4gSD/wMKy7XDR8+t 1jxxsg/6r1ZWiwARVJoIsAyU0kIWDshmNn3HZtNxLwsXFCf6s0zx/7UVPw4b/xxIGr7CgAPMgvQ+ 1hGDmc+ggs1fREowjxIez7LJIRGBwdvq5vOiWlAiMHczm1fVXW7DLrd9iOmbBEuy0dCAYylq8cNT TGPpW0l+zMGjNqaMxrh3gVy35rEbb+U0u+DNVhq2AyazuYX2iNxwPfHRDsJvSnocdUPj654HSYn5 7lDLxayq8m4UB7nM0QnXme11hjuBrRqaKBnNhzTuEw7U8/TkNl5kIUfcX/YJlC4cL4hOmHGkRaXT +uWdufZL1eUnWf0BAAD//wMAUEsDBBQABgAIAAAAIQBSkSXY3gAAAAoBAAAPAAAAZHJzL2Rvd25y ZXYueG1sTI/BTsMwDIbvSLxDZCRuWwIr21KaTgjEFbQBk7hljddWNE7VZGt5e8wJbrb86ff3F5vJ d+KMQ2wDGbiZKxBIVXAt1Qbe355naxAxWXK2C4QGvjHCpry8KGzuwkhbPO9SLTiEYm4NNCn1uZSx atDbOA89Et+OYfA28TrU0g125HDfyVulltLblvhDY3t8bLD62p28gY+X4+c+U6/1k7/rxzApSV5L Y66vpod7EAmn9AfDrz6rQ8lOh3AiF0VnYLbQS0Z5yBR3YEKvVhmIg4GF1iDLQv6vUP4AAAD//wMA UEsBAi0AFAAGAAgAAAAhALaDOJL+AAAA4QEAABMAAAAAAAAAAAAAAAAAAAAAAFtDb250ZW50X1R5 cGVzXS54bWxQSwECLQAUAAYACAAAACEAOP0h/9YAAACUAQAACwAAAAAAAAAAAAAAAAAvAQAAX3Jl bHMvLnJlbHNQSwECLQAUAAYACAAAACEAIjlaXboBAABsAwAADgAAAAAAAAAAAAAAAAAuAgAAZHJz L2Uyb0RvYy54bWxQSwECLQAUAAYACAAAACEAUpEl2N4AAAAKAQAADwAAAAAAAAAAAAAAAAAUBAAA ZHJzL2Rvd25yZXYueG1sUEsFBgAAAAAEAAQA8wAAAB8FAAAAAA== " filled="f" stroked="f">
              <v:textbox>
                <w:txbxContent>
                  <w:p w14:paraId="209816CC" w14:textId="77777777" w:rsidR="00000000" w:rsidRDefault="00000000">
                    <w:pPr>
                      <w:jc w:val="center"/>
                    </w:pPr>
                    <w:r>
                      <w:rPr>
                        <w:rFonts w:ascii="-apple-system-font" w:hAnsi="-apple-system-font"/>
                        <w:b/>
                        <w:bCs/>
                        <w:color w:val="0F4791"/>
                        <w:sz w:val="13"/>
                        <w:szCs w:val="17"/>
                      </w:rPr>
                      <w:t>Port Autonome d'Abidjan, Société d'État</w:t>
                    </w:r>
                    <w:r>
                      <w:rPr>
                        <w:rFonts w:ascii="-apple-system-font" w:hAnsi="-apple-system-font"/>
                        <w:color w:val="0F4791"/>
                        <w:sz w:val="13"/>
                        <w:szCs w:val="17"/>
                      </w:rPr>
                      <w:t xml:space="preserve"> au capital de </w:t>
                    </w:r>
                    <w:r>
                      <w:rPr>
                        <w:rFonts w:ascii="-apple-system-font" w:hAnsi="-apple-system-font"/>
                        <w:b/>
                        <w:bCs/>
                        <w:color w:val="0F4791"/>
                        <w:sz w:val="13"/>
                        <w:szCs w:val="17"/>
                      </w:rPr>
                      <w:t>100.000.000.000 F CFA</w:t>
                    </w:r>
                    <w:r>
                      <w:rPr>
                        <w:rFonts w:ascii="-apple-system-font" w:hAnsi="-apple-system-font"/>
                        <w:color w:val="0F4791"/>
                        <w:sz w:val="13"/>
                        <w:szCs w:val="17"/>
                      </w:rPr>
                      <w:t xml:space="preserve">, </w:t>
                    </w:r>
                    <w:r>
                      <w:rPr>
                        <w:rFonts w:ascii="-apple-system-font" w:hAnsi="-apple-system-font"/>
                        <w:b/>
                        <w:bCs/>
                        <w:color w:val="0F4791"/>
                        <w:sz w:val="13"/>
                        <w:szCs w:val="17"/>
                      </w:rPr>
                      <w:t>régie par la loi n°2020-626 du 14 Août 2020</w:t>
                    </w:r>
                    <w:r>
                      <w:rPr>
                        <w:rFonts w:ascii="-apple-system-font" w:hAnsi="-apple-system-font"/>
                        <w:color w:val="0F4791"/>
                        <w:sz w:val="13"/>
                        <w:szCs w:val="17"/>
                      </w:rPr>
                      <w:t xml:space="preserve"> portant définition et organisation des Sociétés d'État et par le </w:t>
                    </w:r>
                    <w:r>
                      <w:rPr>
                        <w:rFonts w:ascii="-apple-system-font" w:hAnsi="-apple-system-font"/>
                        <w:b/>
                        <w:bCs/>
                        <w:color w:val="0F4791"/>
                        <w:sz w:val="13"/>
                        <w:szCs w:val="17"/>
                      </w:rPr>
                      <w:t>décret n° 092-940</w:t>
                    </w:r>
                    <w:r>
                      <w:rPr>
                        <w:rFonts w:ascii="-apple-system-font" w:hAnsi="-apple-system-font"/>
                        <w:color w:val="0F4791"/>
                        <w:sz w:val="13"/>
                        <w:szCs w:val="17"/>
                      </w:rPr>
                      <w:t xml:space="preserve"> du 23 décembre 1992 portant transformation du Port Autonome d'Abidjan (P.A.A) en Société d'État, dont le siège social est sis à                              Abidjan-Treichville, Rue A22 des Piroguiers, Boulevard du Port, adresse : BP V85 Abidjan et immatriculée au RCCM sous le numéro</w:t>
                    </w:r>
                    <w:r>
                      <w:rPr>
                        <w:rFonts w:ascii="-apple-system-font" w:hAnsi="-apple-system-font"/>
                        <w:b/>
                        <w:bCs/>
                        <w:color w:val="0F4791"/>
                        <w:sz w:val="13"/>
                        <w:szCs w:val="17"/>
                      </w:rPr>
                      <w:t xml:space="preserve"> CI-ABJ-03-2021-M-00928</w:t>
                    </w:r>
                    <w:r>
                      <w:rPr>
                        <w:rFonts w:ascii="-apple-system-font" w:hAnsi="-apple-system-font"/>
                        <w:color w:val="0F4791"/>
                        <w:sz w:val="13"/>
                        <w:szCs w:val="17"/>
                      </w:rPr>
                      <w:t xml:space="preserve">,                                                    </w:t>
                    </w:r>
                    <w:r>
                      <w:rPr>
                        <w:rFonts w:ascii="-apple-system-font" w:hAnsi="-apple-system-font"/>
                        <w:b/>
                        <w:bCs/>
                        <w:color w:val="0F4791"/>
                        <w:sz w:val="13"/>
                        <w:szCs w:val="17"/>
                      </w:rPr>
                      <w:t>Tél : 27-21-23-80-00, Téléfax : 27-21-23-80-80, Web : www.portabidjan.ci</w:t>
                    </w:r>
                  </w:p>
                  <w:p w14:paraId="05AF5EDD" w14:textId="77777777" w:rsidR="00000000" w:rsidRDefault="00000000">
                    <w:pPr>
                      <w:jc w:val="center"/>
                      <w:rPr>
                        <w:color w:val="0F4791"/>
                        <w:sz w:val="17"/>
                        <w:szCs w:val="17"/>
                      </w:rP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E362" w14:textId="77777777" w:rsidR="00000000" w:rsidRDefault="00000000">
    <w:pPr>
      <w:pStyle w:val="Pieddepage"/>
    </w:pPr>
    <w:r>
      <w:rPr>
        <w:rFonts w:ascii="Arial" w:eastAsia="Arial" w:hAnsi="Arial" w:cs="Arial"/>
        <w:b/>
        <w:bCs/>
        <w:noProof/>
        <w:color w:val="075FA7"/>
        <w:sz w:val="15"/>
        <w:szCs w:val="15"/>
        <w:lang w:val="fr-FR" w:eastAsia="fr-FR"/>
      </w:rPr>
      <mc:AlternateContent>
        <mc:Choice Requires="wps">
          <w:drawing>
            <wp:anchor distT="0" distB="0" distL="114300" distR="114300" simplePos="0" relativeHeight="251659264" behindDoc="0" locked="0" layoutInCell="1" allowOverlap="1" wp14:anchorId="1A1C26D9" wp14:editId="450AFFCA">
              <wp:simplePos x="0" y="0"/>
              <wp:positionH relativeFrom="margin">
                <wp:posOffset>-251460</wp:posOffset>
              </wp:positionH>
              <wp:positionV relativeFrom="paragraph">
                <wp:posOffset>-259076</wp:posOffset>
              </wp:positionV>
              <wp:extent cx="6457949" cy="512448"/>
              <wp:effectExtent l="0" t="0" r="0" b="1902"/>
              <wp:wrapNone/>
              <wp:docPr id="51518553" name="Zone de texte 190377056"/>
              <wp:cNvGraphicFramePr/>
              <a:graphic xmlns:a="http://schemas.openxmlformats.org/drawingml/2006/main">
                <a:graphicData uri="http://schemas.microsoft.com/office/word/2010/wordprocessingShape">
                  <wps:wsp>
                    <wps:cNvSpPr txBox="1"/>
                    <wps:spPr>
                      <a:xfrm>
                        <a:off x="0" y="0"/>
                        <a:ext cx="6457949" cy="512448"/>
                      </a:xfrm>
                      <a:prstGeom prst="rect">
                        <a:avLst/>
                      </a:prstGeom>
                      <a:noFill/>
                      <a:ln>
                        <a:noFill/>
                        <a:prstDash/>
                      </a:ln>
                    </wps:spPr>
                    <wps:txbx>
                      <w:txbxContent>
                        <w:p w14:paraId="209816CC" w14:textId="77777777" w:rsidR="00000000" w:rsidRDefault="00000000">
                          <w:pPr>
                            <w:jc w:val="center"/>
                          </w:pPr>
                          <w:r>
                            <w:rPr>
                              <w:rFonts w:ascii="-apple-system-font" w:hAnsi="-apple-system-font"/>
                              <w:b/>
                              <w:bCs/>
                              <w:color w:val="0F4791"/>
                              <w:sz w:val="13"/>
                              <w:szCs w:val="17"/>
                            </w:rPr>
                            <w:t>Port Autonome d'Abidjan, Société d'État</w:t>
                          </w:r>
                          <w:r>
                            <w:rPr>
                              <w:rFonts w:ascii="-apple-system-font" w:hAnsi="-apple-system-font"/>
                              <w:color w:val="0F4791"/>
                              <w:sz w:val="13"/>
                              <w:szCs w:val="17"/>
                            </w:rPr>
                            <w:t xml:space="preserve"> au capital de </w:t>
                          </w:r>
                          <w:r>
                            <w:rPr>
                              <w:rFonts w:ascii="-apple-system-font" w:hAnsi="-apple-system-font"/>
                              <w:b/>
                              <w:bCs/>
                              <w:color w:val="0F4791"/>
                              <w:sz w:val="13"/>
                              <w:szCs w:val="17"/>
                            </w:rPr>
                            <w:t>100.000.000.000 F CFA</w:t>
                          </w:r>
                          <w:r>
                            <w:rPr>
                              <w:rFonts w:ascii="-apple-system-font" w:hAnsi="-apple-system-font"/>
                              <w:color w:val="0F4791"/>
                              <w:sz w:val="13"/>
                              <w:szCs w:val="17"/>
                            </w:rPr>
                            <w:t xml:space="preserve">, </w:t>
                          </w:r>
                          <w:r>
                            <w:rPr>
                              <w:rFonts w:ascii="-apple-system-font" w:hAnsi="-apple-system-font"/>
                              <w:b/>
                              <w:bCs/>
                              <w:color w:val="0F4791"/>
                              <w:sz w:val="13"/>
                              <w:szCs w:val="17"/>
                            </w:rPr>
                            <w:t>régie par la loi n°2020-626 du 14 Août 2020</w:t>
                          </w:r>
                          <w:r>
                            <w:rPr>
                              <w:rFonts w:ascii="-apple-system-font" w:hAnsi="-apple-system-font"/>
                              <w:color w:val="0F4791"/>
                              <w:sz w:val="13"/>
                              <w:szCs w:val="17"/>
                            </w:rPr>
                            <w:t xml:space="preserve"> portant définition et organisation des Sociétés d'État et par le </w:t>
                          </w:r>
                          <w:r>
                            <w:rPr>
                              <w:rFonts w:ascii="-apple-system-font" w:hAnsi="-apple-system-font"/>
                              <w:b/>
                              <w:bCs/>
                              <w:color w:val="0F4791"/>
                              <w:sz w:val="13"/>
                              <w:szCs w:val="17"/>
                            </w:rPr>
                            <w:t>décret n° 092-940</w:t>
                          </w:r>
                          <w:r>
                            <w:rPr>
                              <w:rFonts w:ascii="-apple-system-font" w:hAnsi="-apple-system-font"/>
                              <w:color w:val="0F4791"/>
                              <w:sz w:val="13"/>
                              <w:szCs w:val="17"/>
                            </w:rPr>
                            <w:t xml:space="preserve"> du 23 décembre 1992 portant transformation du Port Autonome d'Abidjan (P.A.A) en Société d'État, dont le siège social est sis à                              Abidjan-Treichville, Rue A22 des Piroguiers, Boulevard du Port, adresse : BP V85 Abidjan et immatriculée au RCCM sous le numéro</w:t>
                          </w:r>
                          <w:r>
                            <w:rPr>
                              <w:rFonts w:ascii="-apple-system-font" w:hAnsi="-apple-system-font"/>
                              <w:b/>
                              <w:bCs/>
                              <w:color w:val="0F4791"/>
                              <w:sz w:val="13"/>
                              <w:szCs w:val="17"/>
                            </w:rPr>
                            <w:t xml:space="preserve"> CI-ABJ-03-2021-M-00928</w:t>
                          </w:r>
                          <w:r>
                            <w:rPr>
                              <w:rFonts w:ascii="-apple-system-font" w:hAnsi="-apple-system-font"/>
                              <w:color w:val="0F4791"/>
                              <w:sz w:val="13"/>
                              <w:szCs w:val="17"/>
                            </w:rPr>
                            <w:t xml:space="preserve">,                                                    </w:t>
                          </w:r>
                          <w:r>
                            <w:rPr>
                              <w:rFonts w:ascii="-apple-system-font" w:hAnsi="-apple-system-font"/>
                              <w:b/>
                              <w:bCs/>
                              <w:color w:val="0F4791"/>
                              <w:sz w:val="13"/>
                              <w:szCs w:val="17"/>
                            </w:rPr>
                            <w:t>Tél : 27-21-23-80-00, Téléfax : 27-21-23-80-80, Web : www.portabidjan.ci</w:t>
                          </w:r>
                        </w:p>
                        <w:p w14:paraId="05AF5EDD" w14:textId="77777777" w:rsidR="00000000" w:rsidRDefault="00000000">
                          <w:pPr>
                            <w:jc w:val="center"/>
                            <w:rPr>
                              <w:color w:val="0F4791"/>
                              <w:sz w:val="17"/>
                              <w:szCs w:val="17"/>
                            </w:rPr>
                          </w:pPr>
                        </w:p>
                      </w:txbxContent>
                    </wps:txbx>
                    <wps:bodyPr vert="horz" wrap="square" lIns="91440" tIns="45720" rIns="91440" bIns="45720" anchor="t" anchorCtr="0" compatLnSpc="1">
                      <a:noAutofit/>
                    </wps:bodyPr>
                  </wps:wsp>
                </a:graphicData>
              </a:graphic>
            </wp:anchor>
          </w:drawing>
        </mc:Choice>
        <mc:Fallback>
          <w:pict>
            <v:shapetype w14:anchorId="1A1C26D9" id="_x0000_t202" coordsize="21600,21600" o:spt="202" path="m,l,21600r21600,l21600,xe">
              <v:stroke joinstyle="miter"/>
              <v:path gradientshapeok="t" o:connecttype="rect"/>
            </v:shapetype>
            <v:shape id="Zone de texte 190377056" o:spid="_x0000_s1029" type="#_x0000_t202" style="position:absolute;margin-left:-19.8pt;margin-top:-20.4pt;width:508.5pt;height:40.3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OVpdugEAAGwDAAAOAAAAZHJzL2Uyb0RvYy54bWysU9tuGyEQfa/Uf0C819jWJo1XXkdtrFSV ojaS0w/ALHiRgCGAvet+fQfWsa30reoLOzeGc87MLu8Ha8hBhqjBNXQ2mVIinYBWu11Df708frqj JCbuWm7AyYYeZaT3q48flr2v5Rw6MK0MBJu4WPe+oV1KvmYsik5aHifgpcOkgmB5QjfsWBt4j92t YfPp9Jb1EFofQMgYMboek3RV+islRfqpVJSJmIYitlTOUM5tPtlqyetd4L7T4gSD/wMKy7XDR8+t 1jxxsg/6r1ZWiwARVJoIsAyU0kIWDshmNn3HZtNxLwsXFCf6s0zx/7UVPw4b/xxIGr7CgAPMgvQ+ 1hGDmc+ggs1fREowjxIez7LJIRGBwdvq5vOiWlAiMHczm1fVXW7DLrd9iOmbBEuy0dCAYylq8cNT TGPpW0l+zMGjNqaMxrh3gVy35rEbb+U0u+DNVhq2AyazuYX2iNxwPfHRDsJvSnocdUPj654HSYn5 7lDLxayq8m4UB7nM0QnXme11hjuBrRqaKBnNhzTuEw7U8/TkNl5kIUfcX/YJlC4cL4hOmHGkRaXT +uWdufZL1eUnWf0BAAD//wMAUEsDBBQABgAIAAAAIQBSkSXY3gAAAAoBAAAPAAAAZHJzL2Rvd25y ZXYueG1sTI/BTsMwDIbvSLxDZCRuWwIr21KaTgjEFbQBk7hljddWNE7VZGt5e8wJbrb86ff3F5vJ d+KMQ2wDGbiZKxBIVXAt1Qbe355naxAxWXK2C4QGvjHCpry8KGzuwkhbPO9SLTiEYm4NNCn1uZSx atDbOA89Et+OYfA28TrU0g125HDfyVulltLblvhDY3t8bLD62p28gY+X4+c+U6/1k7/rxzApSV5L Y66vpod7EAmn9AfDrz6rQ8lOh3AiF0VnYLbQS0Z5yBR3YEKvVhmIg4GF1iDLQv6vUP4AAAD//wMA UEsBAi0AFAAGAAgAAAAhALaDOJL+AAAA4QEAABMAAAAAAAAAAAAAAAAAAAAAAFtDb250ZW50X1R5 cGVzXS54bWxQSwECLQAUAAYACAAAACEAOP0h/9YAAACUAQAACwAAAAAAAAAAAAAAAAAvAQAAX3Jl bHMvLnJlbHNQSwECLQAUAAYACAAAACEAIjlaXboBAABsAwAADgAAAAAAAAAAAAAAAAAuAgAAZHJz L2Uyb0RvYy54bWxQSwECLQAUAAYACAAAACEAUpEl2N4AAAAKAQAADwAAAAAAAAAAAAAAAAAUBAAA ZHJzL2Rvd25yZXYueG1sUEsFBgAAAAAEAAQA8wAAAB8FAAAAAA== " filled="f" stroked="f">
              <v:textbox>
                <w:txbxContent>
                  <w:p w14:paraId="209816CC" w14:textId="77777777" w:rsidR="00000000" w:rsidRDefault="00000000">
                    <w:pPr>
                      <w:jc w:val="center"/>
                    </w:pPr>
                    <w:r>
                      <w:rPr>
                        <w:rFonts w:ascii="-apple-system-font" w:hAnsi="-apple-system-font"/>
                        <w:b/>
                        <w:bCs/>
                        <w:color w:val="0F4791"/>
                        <w:sz w:val="13"/>
                        <w:szCs w:val="17"/>
                      </w:rPr>
                      <w:t>Port Autonome d'Abidjan, Société d'État</w:t>
                    </w:r>
                    <w:r>
                      <w:rPr>
                        <w:rFonts w:ascii="-apple-system-font" w:hAnsi="-apple-system-font"/>
                        <w:color w:val="0F4791"/>
                        <w:sz w:val="13"/>
                        <w:szCs w:val="17"/>
                      </w:rPr>
                      <w:t xml:space="preserve"> au capital de </w:t>
                    </w:r>
                    <w:r>
                      <w:rPr>
                        <w:rFonts w:ascii="-apple-system-font" w:hAnsi="-apple-system-font"/>
                        <w:b/>
                        <w:bCs/>
                        <w:color w:val="0F4791"/>
                        <w:sz w:val="13"/>
                        <w:szCs w:val="17"/>
                      </w:rPr>
                      <w:t>100.000.000.000 F CFA</w:t>
                    </w:r>
                    <w:r>
                      <w:rPr>
                        <w:rFonts w:ascii="-apple-system-font" w:hAnsi="-apple-system-font"/>
                        <w:color w:val="0F4791"/>
                        <w:sz w:val="13"/>
                        <w:szCs w:val="17"/>
                      </w:rPr>
                      <w:t xml:space="preserve">, </w:t>
                    </w:r>
                    <w:r>
                      <w:rPr>
                        <w:rFonts w:ascii="-apple-system-font" w:hAnsi="-apple-system-font"/>
                        <w:b/>
                        <w:bCs/>
                        <w:color w:val="0F4791"/>
                        <w:sz w:val="13"/>
                        <w:szCs w:val="17"/>
                      </w:rPr>
                      <w:t>régie par la loi n°2020-626 du 14 Août 2020</w:t>
                    </w:r>
                    <w:r>
                      <w:rPr>
                        <w:rFonts w:ascii="-apple-system-font" w:hAnsi="-apple-system-font"/>
                        <w:color w:val="0F4791"/>
                        <w:sz w:val="13"/>
                        <w:szCs w:val="17"/>
                      </w:rPr>
                      <w:t xml:space="preserve"> portant définition et organisation des Sociétés d'État et par le </w:t>
                    </w:r>
                    <w:r>
                      <w:rPr>
                        <w:rFonts w:ascii="-apple-system-font" w:hAnsi="-apple-system-font"/>
                        <w:b/>
                        <w:bCs/>
                        <w:color w:val="0F4791"/>
                        <w:sz w:val="13"/>
                        <w:szCs w:val="17"/>
                      </w:rPr>
                      <w:t>décret n° 092-940</w:t>
                    </w:r>
                    <w:r>
                      <w:rPr>
                        <w:rFonts w:ascii="-apple-system-font" w:hAnsi="-apple-system-font"/>
                        <w:color w:val="0F4791"/>
                        <w:sz w:val="13"/>
                        <w:szCs w:val="17"/>
                      </w:rPr>
                      <w:t xml:space="preserve"> du 23 décembre 1992 portant transformation du Port Autonome d'Abidjan (P.A.A) en Société d'État, dont le siège social est sis à                              Abidjan-Treichville, Rue A22 des Piroguiers, Boulevard du Port, adresse : BP V85 Abidjan et immatriculée au RCCM sous le numéro</w:t>
                    </w:r>
                    <w:r>
                      <w:rPr>
                        <w:rFonts w:ascii="-apple-system-font" w:hAnsi="-apple-system-font"/>
                        <w:b/>
                        <w:bCs/>
                        <w:color w:val="0F4791"/>
                        <w:sz w:val="13"/>
                        <w:szCs w:val="17"/>
                      </w:rPr>
                      <w:t xml:space="preserve"> CI-ABJ-03-2021-M-00928</w:t>
                    </w:r>
                    <w:r>
                      <w:rPr>
                        <w:rFonts w:ascii="-apple-system-font" w:hAnsi="-apple-system-font"/>
                        <w:color w:val="0F4791"/>
                        <w:sz w:val="13"/>
                        <w:szCs w:val="17"/>
                      </w:rPr>
                      <w:t xml:space="preserve">,                                                    </w:t>
                    </w:r>
                    <w:r>
                      <w:rPr>
                        <w:rFonts w:ascii="-apple-system-font" w:hAnsi="-apple-system-font"/>
                        <w:b/>
                        <w:bCs/>
                        <w:color w:val="0F4791"/>
                        <w:sz w:val="13"/>
                        <w:szCs w:val="17"/>
                      </w:rPr>
                      <w:t>Tél : 27-21-23-80-00, Téléfax : 27-21-23-80-80, Web : www.portabidjan.ci</w:t>
                    </w:r>
                  </w:p>
                  <w:p w14:paraId="05AF5EDD" w14:textId="77777777" w:rsidR="00000000" w:rsidRDefault="00000000">
                    <w:pPr>
                      <w:jc w:val="center"/>
                      <w:rPr>
                        <w:color w:val="0F4791"/>
                        <w:sz w:val="17"/>
                        <w:szCs w:val="17"/>
                      </w:rPr>
                    </w:pPr>
                  </w:p>
                </w:txbxContent>
              </v:textbox>
              <w10:wrap anchorx="margin"/>
            </v:shape>
          </w:pict>
        </mc:Fallback>
      </mc:AlternateContent>
    </w:r>
  </w:p>
  <w:p>
    <w:pPr>
      <w:jc w:val="center"/>
    </w:pPr>
    <w:r>
      <w:rPr>
        <w:rFonts w:ascii="Garamond" w:hAnsi="Garamond"/>
        <w:sz w:val="18"/>
        <w:color w:val="595959"/>
      </w:rPr>
      <w:t xml:space="preserve">Page </w:t>
    </w:r>
    <w:r>
      <w:rPr>
        <w:rFonts w:ascii="Garamond" w:hAnsi="Garamond"/>
        <w:sz w:val="18"/>
        <w:color w:val="595959"/>
      </w:rPr>
      <w:fldChar w:fldCharType="begin"/>
    </w:r>
    <w:r>
      <w:rPr>
        <w:rFonts w:ascii="Garamond" w:hAnsi="Garamond"/>
        <w:sz w:val="18"/>
        <w:color w:val="595959"/>
      </w:rPr>
      <w:instrText xml:space="preserve"> PAGE </w:instrText>
    </w:r>
    <w:r>
      <w:rPr>
        <w:rFonts w:ascii="Garamond" w:hAnsi="Garamond"/>
        <w:sz w:val="18"/>
        <w:color w:val="59595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D356" w14:textId="77777777" w:rsidR="00B750A1" w:rsidRDefault="00B750A1">
      <w:pPr>
        <w:spacing w:after="0" w:line="240" w:lineRule="auto"/>
      </w:pPr>
      <w:r>
        <w:rPr>
          <w:color w:val="000000"/>
        </w:rPr>
        <w:separator/>
      </w:r>
    </w:p>
  </w:footnote>
  <w:footnote w:type="continuationSeparator" w:id="0">
    <w:p w14:paraId="586C295D" w14:textId="77777777" w:rsidR="00B750A1" w:rsidRDefault="00B750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776"/>
    <w:multiLevelType w:val="multilevel"/>
    <w:tmpl w:val="27F0A1DC"/>
    <w:styleLink w:val="LFO9"/>
    <w:lvl w:ilvl="0">
      <w:start w:val="1"/>
      <w:numFmt w:val="decimal"/>
      <w:pStyle w:val="Style2"/>
      <w:lvlText w:val="%1."/>
      <w:lvlJc w:val="left"/>
      <w:pPr>
        <w:ind w:left="720" w:hanging="720"/>
      </w:pPr>
    </w:lvl>
    <w:lvl w:ilvl="1">
      <w:start w:val="1"/>
      <w:numFmt w:val="decimal"/>
      <w:lvlText w:val="."/>
      <w:lvlJc w:val="left"/>
      <w:pPr>
        <w:ind w:left="1440" w:hanging="720"/>
      </w:pPr>
    </w:lvl>
    <w:lvl w:ilvl="2">
      <w:start w:val="1"/>
      <w:numFmt w:val="decimal"/>
      <w:lvlText w:val="."/>
      <w:lvlJc w:val="left"/>
      <w:pPr>
        <w:ind w:left="2160" w:hanging="720"/>
      </w:pPr>
    </w:lvl>
    <w:lvl w:ilvl="3">
      <w:start w:val="1"/>
      <w:numFmt w:val="decimal"/>
      <w:lvlText w:val="."/>
      <w:lvlJc w:val="left"/>
      <w:pPr>
        <w:ind w:left="2880" w:hanging="720"/>
      </w:pPr>
    </w:lvl>
    <w:lvl w:ilvl="4">
      <w:start w:val="1"/>
      <w:numFmt w:val="decimal"/>
      <w:lvlText w:val="."/>
      <w:lvlJc w:val="left"/>
      <w:pPr>
        <w:ind w:left="3600" w:hanging="720"/>
      </w:pPr>
    </w:lvl>
    <w:lvl w:ilvl="5">
      <w:start w:val="1"/>
      <w:numFmt w:val="decimal"/>
      <w:lvlText w:val="."/>
      <w:lvlJc w:val="left"/>
      <w:pPr>
        <w:ind w:left="4320" w:hanging="720"/>
      </w:pPr>
    </w:lvl>
    <w:lvl w:ilvl="6">
      <w:start w:val="1"/>
      <w:numFmt w:val="decimal"/>
      <w:lvlText w:val="."/>
      <w:lvlJc w:val="left"/>
      <w:pPr>
        <w:ind w:left="5040" w:hanging="720"/>
      </w:pPr>
    </w:lvl>
    <w:lvl w:ilvl="7">
      <w:start w:val="1"/>
      <w:numFmt w:val="decimal"/>
      <w:lvlText w:val="."/>
      <w:lvlJc w:val="left"/>
      <w:pPr>
        <w:ind w:left="5760" w:hanging="720"/>
      </w:pPr>
    </w:lvl>
    <w:lvl w:ilvl="8">
      <w:start w:val="1"/>
      <w:numFmt w:val="decimal"/>
      <w:lvlText w:val="."/>
      <w:lvlJc w:val="left"/>
      <w:pPr>
        <w:ind w:left="6480" w:hanging="720"/>
      </w:pPr>
    </w:lvl>
  </w:abstractNum>
  <w:abstractNum w:abstractNumId="1" w15:restartNumberingAfterBreak="0">
    <w:nsid w:val="06343350"/>
    <w:multiLevelType w:val="multilevel"/>
    <w:tmpl w:val="A15A6C5E"/>
    <w:styleLink w:val="LFO5"/>
    <w:lvl w:ilvl="0">
      <w:start w:val="1"/>
      <w:numFmt w:val="decimal"/>
      <w:pStyle w:val="T3"/>
      <w:lvlText w:val="%1."/>
      <w:lvlJc w:val="left"/>
      <w:pPr>
        <w:ind w:left="720" w:hanging="720"/>
      </w:pPr>
    </w:lvl>
    <w:lvl w:ilvl="1">
      <w:start w:val="1"/>
      <w:numFmt w:val="decimal"/>
      <w:lvlText w:val="."/>
      <w:lvlJc w:val="left"/>
      <w:pPr>
        <w:ind w:left="1440" w:hanging="720"/>
      </w:pPr>
    </w:lvl>
    <w:lvl w:ilvl="2">
      <w:start w:val="1"/>
      <w:numFmt w:val="decimal"/>
      <w:lvlText w:val="."/>
      <w:lvlJc w:val="left"/>
      <w:pPr>
        <w:ind w:left="2160" w:hanging="720"/>
      </w:pPr>
    </w:lvl>
    <w:lvl w:ilvl="3">
      <w:start w:val="1"/>
      <w:numFmt w:val="decimal"/>
      <w:lvlText w:val="."/>
      <w:lvlJc w:val="left"/>
      <w:pPr>
        <w:ind w:left="2880" w:hanging="720"/>
      </w:pPr>
    </w:lvl>
    <w:lvl w:ilvl="4">
      <w:start w:val="1"/>
      <w:numFmt w:val="decimal"/>
      <w:lvlText w:val="."/>
      <w:lvlJc w:val="left"/>
      <w:pPr>
        <w:ind w:left="3600" w:hanging="720"/>
      </w:pPr>
    </w:lvl>
    <w:lvl w:ilvl="5">
      <w:start w:val="1"/>
      <w:numFmt w:val="decimal"/>
      <w:lvlText w:val="."/>
      <w:lvlJc w:val="left"/>
      <w:pPr>
        <w:ind w:left="4320" w:hanging="720"/>
      </w:pPr>
    </w:lvl>
    <w:lvl w:ilvl="6">
      <w:start w:val="1"/>
      <w:numFmt w:val="decimal"/>
      <w:lvlText w:val="."/>
      <w:lvlJc w:val="left"/>
      <w:pPr>
        <w:ind w:left="5040" w:hanging="720"/>
      </w:pPr>
    </w:lvl>
    <w:lvl w:ilvl="7">
      <w:start w:val="1"/>
      <w:numFmt w:val="decimal"/>
      <w:lvlText w:val="."/>
      <w:lvlJc w:val="left"/>
      <w:pPr>
        <w:ind w:left="5760" w:hanging="720"/>
      </w:pPr>
    </w:lvl>
    <w:lvl w:ilvl="8">
      <w:start w:val="1"/>
      <w:numFmt w:val="decimal"/>
      <w:lvlText w:val="."/>
      <w:lvlJc w:val="left"/>
      <w:pPr>
        <w:ind w:left="6480" w:hanging="720"/>
      </w:pPr>
    </w:lvl>
  </w:abstractNum>
  <w:num w:numId="1" w16cid:durableId="1671713490">
    <w:abstractNumId w:val="1"/>
  </w:num>
  <w:num w:numId="2" w16cid:durableId="10512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15918"/>
    <w:rsid w:val="00115918"/>
    <w:rsid w:val="004F6C16"/>
    <w:rsid w:val="00B5356E"/>
    <w:rsid w:val="00B750A1"/>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107A"/>
  <w15:docId w15:val="{0026E1BC-F93F-462A-B3DD-E4CE996B6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fr-CI"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Garamond" w:hAnsi="Garamond" w:cs="Times New Roman"/>
      <w:sz w:val="24"/>
      <w:szCs w:val="24"/>
    </w:rPr>
  </w:style>
  <w:style w:type="paragraph" w:styleId="Titre1">
    <w:name w:val="heading 1"/>
    <w:uiPriority w:val="9"/>
    <w:qFormat/>
    <w:pPr>
      <w:suppressAutoHyphens/>
      <w:spacing w:after="0" w:line="240" w:lineRule="auto"/>
      <w:outlineLvl w:val="0"/>
    </w:pPr>
    <w:rPr>
      <w:rFonts w:ascii="Garamond" w:hAnsi="Garamond" w:cs="Times New Roman"/>
      <w:b/>
      <w:bCs/>
      <w:sz w:val="32"/>
      <w:szCs w:val="32"/>
      <w:color w:val="0E4C74"/>
    </w:rPr>
  </w:style>
  <w:style w:type="paragraph" w:styleId="Titre2">
    <w:name w:val="heading 2"/>
    <w:uiPriority w:val="9"/>
    <w:semiHidden/>
    <w:unhideWhenUsed/>
    <w:qFormat/>
    <w:pPr>
      <w:suppressAutoHyphens/>
      <w:spacing w:after="0" w:line="240" w:lineRule="auto"/>
      <w:outlineLvl w:val="1"/>
    </w:pPr>
    <w:rPr>
      <w:rFonts w:ascii="Garamond" w:hAnsi="Garamond" w:cs="Times New Roman"/>
      <w:b/>
      <w:bCs/>
      <w:sz w:val="28"/>
      <w:szCs w:val="28"/>
      <w:color w:val="0E4C74"/>
    </w:rPr>
  </w:style>
  <w:style w:type="paragraph" w:styleId="Titre3">
    <w:name w:val="heading 3"/>
    <w:basedOn w:val="Normal"/>
    <w:next w:val="Normal"/>
    <w:uiPriority w:val="9"/>
    <w:semiHidden/>
    <w:unhideWhenUsed/>
    <w:qFormat/>
    <w:pPr>
      <w:keepNext/>
      <w:keepLines/>
      <w:spacing w:before="160" w:after="80"/>
      <w:outlineLvl w:val="2"/>
    </w:pPr>
    <w:rPr>
      <w:rFonts w:ascii="Garamond" w:hAnsi="Garamond" w:cs="Times New Roman"/>
      <w:b/>
      <w:bCs/>
      <w:sz w:val="24"/>
      <w:szCs w:val="24"/>
      <w:color w:val="1A6FA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Times New Roman" w:eastAsia="Times New Roman" w:hAnsi="Times New Roman" w:cs="Times New Roman"/>
      <w:b/>
      <w:color w:val="008080"/>
      <w:sz w:val="32"/>
      <w:szCs w:val="32"/>
      <w:lang w:eastAsia="fr-CI"/>
    </w:rPr>
  </w:style>
  <w:style w:type="paragraph" w:customStyle="1" w:styleId="T3">
    <w:name w:val="T3"/>
    <w:basedOn w:val="Normal"/>
    <w:pPr>
      <w:numPr>
        <w:numId w:val="1"/>
      </w:numPr>
      <w:tabs>
        <w:tab w:val="left" w:pos="720"/>
      </w:tabs>
      <w:spacing w:after="0" w:line="360" w:lineRule="auto"/>
      <w:contextualSpacing/>
      <w:jc w:val="both"/>
    </w:pPr>
    <w:rPr>
      <w:rFonts w:ascii="Arial" w:eastAsia="Times New Roman" w:hAnsi="Arial"/>
      <w:b/>
      <w:color w:val="004A99"/>
      <w:spacing w:val="-10"/>
      <w:kern w:val="3"/>
      <w:sz w:val="24"/>
      <w:szCs w:val="56"/>
    </w:rPr>
  </w:style>
  <w:style w:type="character" w:customStyle="1" w:styleId="T3Car">
    <w:name w:val="T3 Car"/>
    <w:basedOn w:val="Policepardfaut"/>
    <w:rPr>
      <w:rFonts w:ascii="Arial" w:eastAsia="Times New Roman" w:hAnsi="Arial" w:cs="Times New Roman"/>
      <w:b/>
      <w:color w:val="004A99"/>
      <w:spacing w:val="-10"/>
      <w:kern w:val="3"/>
      <w:sz w:val="24"/>
      <w:szCs w:val="56"/>
    </w:rPr>
  </w:style>
  <w:style w:type="paragraph" w:customStyle="1" w:styleId="T2">
    <w:name w:val="T2"/>
    <w:basedOn w:val="Titre"/>
    <w:pPr>
      <w:tabs>
        <w:tab w:val="left" w:pos="720"/>
      </w:tabs>
      <w:spacing w:after="0" w:line="360" w:lineRule="auto"/>
      <w:ind w:left="1080" w:hanging="360"/>
      <w:jc w:val="both"/>
    </w:pPr>
    <w:rPr>
      <w:rFonts w:ascii="Arial" w:hAnsi="Arial"/>
      <w:color w:val="004A99"/>
      <w:sz w:val="28"/>
    </w:rPr>
  </w:style>
  <w:style w:type="character" w:customStyle="1" w:styleId="T2Car">
    <w:name w:val="T2 Car"/>
    <w:basedOn w:val="Policepardfaut"/>
    <w:rPr>
      <w:rFonts w:ascii="Arial" w:eastAsia="Times New Roman" w:hAnsi="Arial" w:cs="Times New Roman"/>
      <w:color w:val="004A99"/>
      <w:spacing w:val="-10"/>
      <w:kern w:val="3"/>
      <w:sz w:val="28"/>
      <w:szCs w:val="56"/>
    </w:rPr>
  </w:style>
  <w:style w:type="paragraph" w:styleId="Titre">
    <w:name w:val="Title"/>
    <w:basedOn w:val="Normal"/>
    <w:next w:val="Normal"/>
    <w:uiPriority w:val="10"/>
    <w:qFormat/>
    <w:pPr>
      <w:spacing w:after="80" w:line="240" w:lineRule="auto"/>
      <w:contextualSpacing/>
    </w:pPr>
    <w:rPr>
      <w:rFonts w:ascii="Calibri Light" w:eastAsia="Times New Roman" w:hAnsi="Calibri Light"/>
      <w:spacing w:val="-10"/>
      <w:kern w:val="3"/>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customStyle="1" w:styleId="T1">
    <w:name w:val="T1"/>
    <w:basedOn w:val="Titre2"/>
    <w:pPr>
      <w:tabs>
        <w:tab w:val="left" w:pos="720"/>
      </w:tabs>
      <w:spacing w:line="360" w:lineRule="auto"/>
      <w:ind w:left="1080" w:hanging="360"/>
      <w:jc w:val="both"/>
    </w:pPr>
    <w:rPr>
      <w:rFonts w:ascii="Arial" w:hAnsi="Arial"/>
      <w:b/>
      <w:color w:val="004089"/>
    </w:rPr>
  </w:style>
  <w:style w:type="character" w:customStyle="1" w:styleId="T1Car">
    <w:name w:val="T1 Car"/>
    <w:basedOn w:val="Policepardfaut"/>
    <w:rPr>
      <w:rFonts w:ascii="Arial" w:eastAsia="Times New Roman" w:hAnsi="Arial" w:cs="Times New Roman"/>
      <w:b/>
      <w:color w:val="004089"/>
      <w:sz w:val="32"/>
      <w:szCs w:val="32"/>
    </w:rPr>
  </w:style>
  <w:style w:type="character" w:customStyle="1" w:styleId="Titre2Car">
    <w:name w:val="Titre 2 Car"/>
    <w:basedOn w:val="Policepardfaut"/>
    <w:rPr>
      <w:rFonts w:ascii="Times New Roman" w:eastAsia="Times New Roman" w:hAnsi="Times New Roman" w:cs="Times New Roman"/>
      <w:color w:val="008080"/>
      <w:sz w:val="26"/>
      <w:szCs w:val="26"/>
      <w:lang w:eastAsia="fr-CI"/>
    </w:rPr>
  </w:style>
  <w:style w:type="paragraph" w:customStyle="1" w:styleId="Corps">
    <w:name w:val="Corps"/>
    <w:basedOn w:val="T3"/>
    <w:rPr>
      <w:rFonts w:ascii="Cambria" w:hAnsi="Cambria"/>
      <w:b w:val="0"/>
    </w:rPr>
  </w:style>
  <w:style w:type="character" w:customStyle="1" w:styleId="CorpsCar">
    <w:name w:val="Corps Car"/>
    <w:basedOn w:val="T3Car"/>
    <w:rPr>
      <w:rFonts w:ascii="Cambria" w:eastAsia="Times New Roman" w:hAnsi="Cambria" w:cs="Times New Roman"/>
      <w:b w:val="0"/>
      <w:color w:val="004A99"/>
      <w:spacing w:val="-10"/>
      <w:kern w:val="3"/>
      <w:sz w:val="24"/>
      <w:szCs w:val="56"/>
    </w:rPr>
  </w:style>
  <w:style w:type="paragraph" w:customStyle="1" w:styleId="GP">
    <w:name w:val="GP"/>
    <w:basedOn w:val="Normal"/>
    <w:pPr>
      <w:spacing w:line="360" w:lineRule="auto"/>
      <w:jc w:val="both"/>
    </w:pPr>
    <w:rPr>
      <w:rFonts w:ascii="Arial" w:hAnsi="Arial"/>
      <w:b/>
      <w:color w:val="004089"/>
      <w:sz w:val="32"/>
    </w:rPr>
  </w:style>
  <w:style w:type="character" w:customStyle="1" w:styleId="GPCar">
    <w:name w:val="GP Car"/>
    <w:basedOn w:val="Policepardfaut"/>
    <w:rPr>
      <w:rFonts w:ascii="Arial" w:hAnsi="Arial"/>
      <w:b/>
      <w:color w:val="004089"/>
      <w:sz w:val="32"/>
    </w:rPr>
  </w:style>
  <w:style w:type="paragraph" w:customStyle="1" w:styleId="Style1">
    <w:name w:val="Style1"/>
    <w:basedOn w:val="Normal"/>
    <w:autoRedefine/>
    <w:pPr>
      <w:spacing w:line="360" w:lineRule="auto"/>
      <w:jc w:val="both"/>
    </w:pPr>
    <w:rPr>
      <w:rFonts w:ascii="Times New Roman" w:hAnsi="Times New Roman"/>
      <w:b/>
      <w:color w:val="1F3864"/>
      <w:sz w:val="24"/>
      <w:lang w:val="fr-FR"/>
    </w:rPr>
  </w:style>
  <w:style w:type="character" w:customStyle="1" w:styleId="Style1Car">
    <w:name w:val="Style1 Car"/>
    <w:basedOn w:val="Policepardfaut"/>
    <w:rPr>
      <w:rFonts w:ascii="Times New Roman" w:hAnsi="Times New Roman"/>
      <w:b/>
      <w:color w:val="1F3864"/>
      <w:sz w:val="24"/>
      <w:lang w:val="fr-FR"/>
    </w:rPr>
  </w:style>
  <w:style w:type="paragraph" w:customStyle="1" w:styleId="Style2">
    <w:name w:val="Style2"/>
    <w:basedOn w:val="Normal"/>
    <w:autoRedefine/>
    <w:pPr>
      <w:numPr>
        <w:numId w:val="2"/>
      </w:numPr>
      <w:spacing w:line="360" w:lineRule="auto"/>
      <w:jc w:val="both"/>
    </w:pPr>
    <w:rPr>
      <w:rFonts w:ascii="Times New Roman" w:eastAsia="Arial" w:hAnsi="Times New Roman"/>
      <w:b/>
      <w:color w:val="1F3864"/>
      <w:spacing w:val="-10"/>
      <w:kern w:val="3"/>
      <w:sz w:val="24"/>
      <w:szCs w:val="56"/>
    </w:rPr>
  </w:style>
  <w:style w:type="character" w:customStyle="1" w:styleId="Style2Car">
    <w:name w:val="Style2 Car"/>
    <w:basedOn w:val="Policepardfaut"/>
    <w:rPr>
      <w:rFonts w:ascii="Times New Roman" w:eastAsia="Arial" w:hAnsi="Times New Roman" w:cs="Times New Roman"/>
      <w:b/>
      <w:color w:val="1F3864"/>
      <w:spacing w:val="-10"/>
      <w:kern w:val="3"/>
      <w:sz w:val="24"/>
      <w:szCs w:val="56"/>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rPr>
  </w:style>
  <w:style w:type="character" w:customStyle="1" w:styleId="Titre5Car">
    <w:name w:val="Titre 5 Car"/>
    <w:basedOn w:val="Policepardfaut"/>
    <w:rPr>
      <w:rFonts w:eastAsia="Times New Roman" w:cs="Times New Roman"/>
      <w:color w:val="2F5496"/>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character" w:styleId="Lienhypertexte">
    <w:name w:val="Hyperlink"/>
    <w:basedOn w:val="Policepardfaut"/>
    <w:rPr>
      <w:color w:val="0563C1"/>
      <w:u w:val="single"/>
    </w:rPr>
  </w:style>
  <w:style w:type="paragraph" w:styleId="TM3">
    <w:name w:val="toc 3"/>
    <w:basedOn w:val="Normal"/>
    <w:next w:val="Normal"/>
    <w:autoRedefine/>
    <w:pPr>
      <w:tabs>
        <w:tab w:val="left" w:pos="880"/>
        <w:tab w:val="right" w:leader="dot" w:pos="9062"/>
      </w:tabs>
      <w:spacing w:after="100" w:line="240" w:lineRule="auto"/>
      <w:ind w:left="440"/>
    </w:pPr>
    <w:rPr>
      <w:lang w:val="fr-FR"/>
    </w:rPr>
  </w:style>
  <w:style w:type="paragraph" w:styleId="TM2">
    <w:name w:val="toc 2"/>
    <w:basedOn w:val="Normal"/>
    <w:next w:val="Normal"/>
    <w:autoRedefine/>
    <w:pPr>
      <w:tabs>
        <w:tab w:val="left" w:pos="660"/>
        <w:tab w:val="right" w:leader="dot" w:pos="9062"/>
      </w:tabs>
      <w:spacing w:after="100"/>
      <w:ind w:left="220"/>
    </w:pPr>
    <w:rPr>
      <w:rFonts w:ascii="Times New Roman" w:hAnsi="Times New Roman"/>
      <w:b/>
      <w:bCs/>
      <w:lang w:val="fr-FR"/>
    </w:rPr>
  </w:style>
  <w:style w:type="paragraph" w:customStyle="1" w:styleId="En-ttedetabledesmatires1">
    <w:name w:val="En-tête de table des matières1"/>
    <w:basedOn w:val="Titre1"/>
    <w:next w:val="Normal"/>
    <w:pPr>
      <w:keepNext/>
      <w:keepLines/>
      <w:spacing w:before="240" w:line="256" w:lineRule="auto"/>
    </w:pPr>
    <w:rPr>
      <w:rFonts w:ascii="Calibri Light" w:hAnsi="Calibri Light"/>
      <w:b w:val="0"/>
      <w:color w:val="2F5496"/>
      <w:lang w:val="zh-CN" w:eastAsia="zh-CN"/>
    </w:rPr>
  </w:style>
  <w:style w:type="numbering" w:customStyle="1" w:styleId="LFO5">
    <w:name w:val="LFO5"/>
    <w:basedOn w:val="Aucuneliste"/>
    <w:pPr>
      <w:numPr>
        <w:numId w:val="1"/>
      </w:numPr>
    </w:pPr>
  </w:style>
  <w:style w:type="numbering" w:customStyle="1" w:styleId="LFO9">
    <w:name w:val="LFO9"/>
    <w:basedOn w:val="Aucu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_Toc216781640" TargetMode="External"/><Relationship Id="rId13" Type="http://schemas.openxmlformats.org/officeDocument/2006/relationships/hyperlink" Target="#_Toc216781646" TargetMode="External"/><Relationship Id="rId18" Type="http://schemas.openxmlformats.org/officeDocument/2006/relationships/hyperlink" Target="#_Toc216781651" TargetMode="External"/><Relationship Id="rId26" Type="http://schemas.openxmlformats.org/officeDocument/2006/relationships/hyperlink" Target="#_Toc216781660" TargetMode="External"/><Relationship Id="rId3" Type="http://schemas.openxmlformats.org/officeDocument/2006/relationships/settings" Target="settings.xml"/><Relationship Id="rId21" Type="http://schemas.openxmlformats.org/officeDocument/2006/relationships/hyperlink" Target="#_Toc216781654" TargetMode="External"/><Relationship Id="rId7" Type="http://schemas.openxmlformats.org/officeDocument/2006/relationships/image" Target="media/image1.png"/><Relationship Id="rId12" Type="http://schemas.openxmlformats.org/officeDocument/2006/relationships/hyperlink" Target="#_Toc216781644" TargetMode="External"/><Relationship Id="rId17" Type="http://schemas.openxmlformats.org/officeDocument/2006/relationships/hyperlink" Target="#_Toc216781650" TargetMode="External"/><Relationship Id="rId25" Type="http://schemas.openxmlformats.org/officeDocument/2006/relationships/hyperlink" Target="#_Toc216781659" TargetMode="External"/><Relationship Id="rId2" Type="http://schemas.openxmlformats.org/officeDocument/2006/relationships/styles" Target="styles.xml"/><Relationship Id="rId16" Type="http://schemas.openxmlformats.org/officeDocument/2006/relationships/hyperlink" Target="#_Toc216781649" TargetMode="External"/><Relationship Id="rId20" Type="http://schemas.openxmlformats.org/officeDocument/2006/relationships/hyperlink" Target="#_Toc21678165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Toc216781643" TargetMode="External"/><Relationship Id="rId24" Type="http://schemas.openxmlformats.org/officeDocument/2006/relationships/hyperlink" Target="#_Toc216781658" TargetMode="External"/><Relationship Id="rId5" Type="http://schemas.openxmlformats.org/officeDocument/2006/relationships/footnotes" Target="footnotes.xml"/><Relationship Id="rId15" Type="http://schemas.openxmlformats.org/officeDocument/2006/relationships/hyperlink" Target="#_Toc216781648" TargetMode="External"/><Relationship Id="rId23" Type="http://schemas.openxmlformats.org/officeDocument/2006/relationships/hyperlink" Target="#_Toc216781657" TargetMode="External"/><Relationship Id="rId28" Type="http://schemas.openxmlformats.org/officeDocument/2006/relationships/fontTable" Target="fontTable.xml"/><Relationship Id="rId10" Type="http://schemas.openxmlformats.org/officeDocument/2006/relationships/hyperlink" Target="#_Toc216781642" TargetMode="External"/><Relationship Id="rId19" Type="http://schemas.openxmlformats.org/officeDocument/2006/relationships/hyperlink" Target="#_Toc216781652" TargetMode="External"/><Relationship Id="rId4" Type="http://schemas.openxmlformats.org/officeDocument/2006/relationships/webSettings" Target="webSettings.xml"/><Relationship Id="rId9" Type="http://schemas.openxmlformats.org/officeDocument/2006/relationships/hyperlink" Target="#_Toc216781641" TargetMode="External"/><Relationship Id="rId14" Type="http://schemas.openxmlformats.org/officeDocument/2006/relationships/hyperlink" Target="#_Toc216781647" TargetMode="External"/><Relationship Id="rId22" Type="http://schemas.openxmlformats.org/officeDocument/2006/relationships/hyperlink" Target="#_Toc216781655" TargetMode="External"/><Relationship Id="rId27" Type="http://schemas.openxmlformats.org/officeDocument/2006/relationships/footer" Target="footer1.xml"/><Relationship Id="rId100" Type="http://schemas.openxmlformats.org/officeDocument/2006/relationships/footer" Target="footer2.xml"/></Relationships>
</file>

<file path=word/_rels/settings.xml.rels><?xml version="1.0" encoding="UTF-8"?><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1391</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Abdoul Aziz</dc:creator>
  <dc:description/>
  <cp:lastModifiedBy>NANA Abdoul Aziz</cp:lastModifiedBy>
  <cp:revision>2</cp:revision>
  <dcterms:created xsi:type="dcterms:W3CDTF">2026-07-04T11:54:00Z</dcterms:created>
  <dcterms:modified xsi:type="dcterms:W3CDTF">2026-07-04T11:54:00Z</dcterms:modified>
</cp:coreProperties>
</file>