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p>
    <w:p>
      <w:pPr>
        <w:spacing w:after="160"/>
      </w:pPr>
    </w:p>
    <w:p>
      <w:pPr>
        <w:spacing w:after="120"/>
        <w:jc w:val="center"/>
      </w:pPr>
      <w:r>
        <w:rPr>
          <w:rFonts w:ascii="Arial" w:cs="Arial" w:eastAsia="Arial" w:hAnsi="Arial"/>
          <w:b/>
          <w:bCs/>
          <w:color w:val="1B4F8A"/>
          <w:sz w:val="28"/>
          <w:szCs w:val="28"/>
        </w:rPr>
        <w:t xml:space="preserve">STAT-HACK’26</w:t>
      </w:r>
    </w:p>
    <w:p>
      <w:pPr>
        <w:spacing w:after="600"/>
        <w:jc w:val="center"/>
      </w:pPr>
      <w:r>
        <w:rPr>
          <w:rFonts w:ascii="Arial" w:cs="Arial" w:eastAsia="Arial" w:hAnsi="Arial"/>
          <w:i/>
          <w:iCs/>
          <w:color w:val="7F8C8D"/>
          <w:sz w:val="22"/>
          <w:szCs w:val="22"/>
        </w:rPr>
        <w:t xml:space="preserve">Hackathon Data &amp; Intelligence Artificielle</w:t>
      </w:r>
    </w:p>
    <w:p>
      <w:pPr>
        <w:pBdr>
          <w:bottom w:val="single" w:color="1B4F8A" w:sz="8" w:space="2"/>
        </w:pBdr>
        <w:spacing w:after="600"/>
        <w:jc w:val="center"/>
      </w:pPr>
    </w:p>
    <w:p>
      <w:pPr>
        <w:spacing w:after="200"/>
        <w:jc w:val="center"/>
      </w:pPr>
      <w:r>
        <w:rPr>
          <w:rFonts w:ascii="Arial" w:cs="Arial" w:eastAsia="Arial" w:hAnsi="Arial"/>
          <w:b/>
          <w:bCs/>
          <w:color w:val="1B4F8A"/>
          <w:sz w:val="72"/>
          <w:szCs w:val="72"/>
        </w:rPr>
        <w:t xml:space="preserve">PORTFLOW</w:t>
      </w:r>
    </w:p>
    <w:p>
      <w:pPr>
        <w:spacing w:after="600"/>
        <w:jc w:val="center"/>
      </w:pPr>
      <w:r>
        <w:rPr>
          <w:rFonts w:ascii="Arial" w:cs="Arial" w:eastAsia="Arial" w:hAnsi="Arial"/>
          <w:b/>
          <w:bCs/>
          <w:color w:val="2874A6"/>
          <w:sz w:val="32"/>
          <w:szCs w:val="32"/>
        </w:rPr>
        <w:t xml:space="preserve">Système de Monitoring du Trafic en Temps Réel</w:t>
      </w:r>
    </w:p>
    <w:p>
      <w:pPr>
        <w:spacing w:after="160"/>
        <w:jc w:val="center"/>
      </w:pPr>
      <w:r>
        <w:rPr>
          <w:rFonts w:ascii="Arial" w:cs="Arial" w:eastAsia="Arial" w:hAnsi="Arial"/>
          <w:b/>
          <w:bCs/>
          <w:color w:val="2C3E50"/>
          <w:sz w:val="26"/>
          <w:szCs w:val="26"/>
        </w:rPr>
        <w:t xml:space="preserve">GUIDE UTILISATEUR</w:t>
      </w:r>
    </w:p>
    <w:p>
      <w:pPr>
        <w:spacing w:after="600"/>
        <w:jc w:val="center"/>
      </w:pPr>
      <w:r>
        <w:rPr>
          <w:rFonts w:ascii="Arial" w:cs="Arial" w:eastAsia="Arial" w:hAnsi="Arial"/>
          <w:i/>
          <w:iCs/>
          <w:color w:val="7F8C8D"/>
          <w:sz w:val="22"/>
          <w:szCs w:val="22"/>
        </w:rPr>
        <w:t xml:space="preserve">Port Autonome d’Abidjan — Abidjan, Côte d’Ivoire</w:t>
      </w:r>
    </w:p>
    <w:p>
      <w:pPr>
        <w:spacing w:after="200"/>
        <w:jc w:val="center"/>
      </w:pPr>
      <w:r>
        <w:rPr>
          <w:rFonts w:ascii="Arial" w:cs="Arial" w:eastAsia="Arial" w:hAnsi="Arial"/>
          <w:color w:val="7F8C8D"/>
          <w:sz w:val="20"/>
          <w:szCs w:val="20"/>
        </w:rPr>
        <w:t xml:space="preserve">À destination de :</w:t>
      </w:r>
    </w:p>
    <w:p>
      <w:pPr>
        <w:spacing w:after="80"/>
        <w:jc w:val="center"/>
      </w:pPr>
      <w:r>
        <w:rPr>
          <w:rFonts w:ascii="Arial" w:cs="Arial" w:eastAsia="Arial" w:hAnsi="Arial"/>
          <w:color w:val="2C3E50"/>
          <w:sz w:val="22"/>
          <w:szCs w:val="22"/>
        </w:rPr>
        <w:t xml:space="preserve">• Équipe d’exploitation du Port Autonome d’Abidjan</w:t>
      </w:r>
    </w:p>
    <w:p>
      <w:pPr>
        <w:spacing w:after="600"/>
        <w:jc w:val="center"/>
      </w:pPr>
      <w:r>
        <w:rPr>
          <w:rFonts w:ascii="Arial" w:cs="Arial" w:eastAsia="Arial" w:hAnsi="Arial"/>
          <w:color w:val="2C3E50"/>
          <w:sz w:val="22"/>
          <w:szCs w:val="22"/>
        </w:rPr>
        <w:t xml:space="preserve">• Administrateurs du système PortFlow</w:t>
      </w:r>
    </w:p>
    <w:p>
      <w:pPr>
        <w:pBdr>
          <w:top w:val="single" w:color="1B4F8A" w:sz="4" w:space="1"/>
        </w:pBdr>
        <w:spacing w:after="120" w:before="400"/>
        <w:jc w:val="center"/>
      </w:pPr>
      <w:r>
        <w:rPr>
          <w:rFonts w:ascii="Arial" w:cs="Arial" w:eastAsia="Arial" w:hAnsi="Arial"/>
          <w:b/>
          <w:bCs/>
          <w:color w:val="2C3E50"/>
          <w:sz w:val="22"/>
          <w:szCs w:val="22"/>
        </w:rPr>
        <w:t xml:space="preserve">Juin 2026</w:t>
      </w:r>
    </w:p>
    <w:p>
      <w:pPr>
        <w:jc w:val="center"/>
      </w:pPr>
      <w:r>
        <w:rPr>
          <w:rFonts w:ascii="Arial" w:cs="Arial" w:eastAsia="Arial" w:hAnsi="Arial"/>
          <w:i/>
          <w:iCs/>
          <w:color w:val="7F8C8D"/>
          <w:sz w:val="20"/>
          <w:szCs w:val="20"/>
        </w:rPr>
        <w:t xml:space="preserve">Version 1.0.0 — Document de référence opérationnelle</w:t>
      </w:r>
    </w:p>
    <w:p>
      <w:pPr>
        <w:sectPr>
          <w:pgSz w:w="11906" w:h="16838" w:orient="portrait"/>
          <w:pgMar w:top="1800" w:right="1134" w:bottom="1440" w:left="1134" w:header="708" w:footer="708" w:gutter="0"/>
          <w:pgNumType/>
          <w:docGrid w:linePitch="360"/>
        </w:sectPr>
      </w:pPr>
    </w:p>
    <w:p>
      <w:pPr>
        <w:pStyle w:val="Heading1"/>
        <w:spacing w:after="200" w:before="240"/>
      </w:pPr>
      <w:r>
        <w:rPr>
          <w:rFonts w:ascii="Arial" w:cs="Arial" w:eastAsia="Arial" w:hAnsi="Arial"/>
          <w:b/>
          <w:bCs/>
          <w:color w:val="1B4F8A"/>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4F8A"/>
          <w:sz w:val="32"/>
          <w:szCs w:val="32"/>
        </w:rPr>
        <w:t xml:space="preserve">1. Introduction</w:t>
      </w:r>
    </w:p>
    <w:p>
      <w:pPr>
        <w:pBdr>
          <w:bottom w:val="single" w:color="1B4F8A" w:sz="4" w:space="1"/>
        </w:pBdr>
        <w:spacing w:after="240"/>
      </w:pPr>
    </w:p>
    <w:p>
      <w:pPr>
        <w:spacing w:after="160" w:line="280"/>
        <w:jc w:val="left"/>
      </w:pPr>
      <w:r>
        <w:rPr>
          <w:rFonts w:ascii="Arial" w:cs="Arial" w:eastAsia="Arial" w:hAnsi="Arial"/>
          <w:b w:val="false"/>
          <w:bCs w:val="false"/>
          <w:i w:val="false"/>
          <w:iCs w:val="false"/>
          <w:color w:val="2C3E50"/>
          <w:sz w:val="22"/>
          <w:szCs w:val="22"/>
        </w:rPr>
        <w:t xml:space="preserve">PortFlow est une application web de surveillance du trafic routier développée spécifiquement pour le Port Autonome d’Abidjan (PAA). Elle permet de visualiser en temps réel l’état de la circulation sur les trois axes principaux reliant le port à la ville d’Abidjan, d’anticiper les pics de congestion grâce à un modèle d’intelligence artificielle, et d’analyser les tendances historiques du trafic.</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Profil</w:t>
            </w:r>
          </w:p>
        </w:tc>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Accès</w:t>
            </w:r>
          </w:p>
        </w:tc>
        <w:tc>
          <w:tcPr>
            <w:tcW w:type="dxa" w:w="40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Fonctions principales</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Utilisateur public (observateur)</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Sans connexion requise</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Carte temps réel, KPI, prévisions ML, assistant IA</w:t>
            </w:r>
          </w:p>
        </w:tc>
      </w:tr>
      <w:tr>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Administrateur (gestionnaire)</w:t>
            </w:r>
          </w:p>
        </w:tc>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Connexion email/mot de passe</w:t>
            </w:r>
          </w:p>
        </w:tc>
        <w:tc>
          <w:tcPr>
            <w:tcW w:type="dxa" w:w="4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Toutes les fonctions publiques + gestion axes, utilisateurs, export</w:t>
            </w:r>
          </w:p>
        </w:tc>
      </w:tr>
    </w:tbl>
    <w:p>
      <w:pPr>
        <w:spacing w:after="160"/>
      </w:pPr>
    </w:p>
    <w:p>
      <w:pPr>
        <w:spacing w:after="160" w:line="280"/>
        <w:jc w:val="left"/>
      </w:pPr>
      <w:r>
        <w:rPr>
          <w:rFonts w:ascii="Arial" w:cs="Arial" w:eastAsia="Arial" w:hAnsi="Arial"/>
          <w:b w:val="false"/>
          <w:bCs w:val="false"/>
          <w:i w:val="false"/>
          <w:iCs w:val="false"/>
          <w:color w:val="2C3E50"/>
          <w:sz w:val="22"/>
          <w:szCs w:val="22"/>
        </w:rPr>
        <w:t xml:space="preserve">Ce guide couvre l’ensemble des fonctionnalités disponibles dans la version 1.0.0 du prototype PortFlow livré dans le cadre du STAT-HACK’26.</w:t>
      </w:r>
    </w:p>
    <w:p>
      <w:r>
        <w:br w:type="page"/>
      </w:r>
    </w:p>
    <w:p>
      <w:pPr>
        <w:pStyle w:val="Heading1"/>
        <w:spacing w:after="200" w:before="360"/>
      </w:pPr>
      <w:r>
        <w:rPr>
          <w:rFonts w:ascii="Arial" w:cs="Arial" w:eastAsia="Arial" w:hAnsi="Arial"/>
          <w:b/>
          <w:bCs/>
          <w:color w:val="1B4F8A"/>
          <w:sz w:val="32"/>
          <w:szCs w:val="32"/>
        </w:rPr>
        <w:t xml:space="preserve">2. Accès à l’application</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2.1 URL et navigateurs compatibles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1B4F8A" w:sz="12"/>
              <w:bottom w:val="single" w:color="CCCCCC" w:sz="1"/>
              <w:right w:val="single" w:color="CCCCCC" w:sz="1"/>
            </w:tcBorders>
            <w:shd w:fill="EBF5FB" w:val="clear"/>
            <w:tcMar>
              <w:top w:type="dxa" w:w="120"/>
              <w:left w:type="dxa" w:w="200"/>
              <w:bottom w:type="dxa" w:w="120"/>
              <w:right w:type="dxa" w:w="150"/>
            </w:tcMar>
          </w:tcPr>
          <w:p>
            <w:pPr>
              <w:spacing w:after="80"/>
            </w:pPr>
            <w:r>
              <w:rPr>
                <w:rFonts w:ascii="Arial" w:cs="Arial" w:eastAsia="Arial" w:hAnsi="Arial"/>
                <w:b/>
                <w:bCs/>
                <w:color w:val="1B4F8A"/>
                <w:sz w:val="20"/>
                <w:szCs w:val="20"/>
              </w:rPr>
              <w:t xml:space="preserve">Adresse de l’application</w:t>
            </w:r>
          </w:p>
          <w:p>
            <w:pPr>
              <w:spacing w:after="0"/>
            </w:pPr>
            <w:r>
              <w:rPr>
                <w:rFonts w:ascii="Arial" w:cs="Arial" w:eastAsia="Arial" w:hAnsi="Arial"/>
                <w:color w:val="2C3E50"/>
                <w:sz w:val="20"/>
                <w:szCs w:val="20"/>
              </w:rPr>
              <w:t xml:space="preserve">https://portflow-46738.web.app — Accessible depuis tout navigateur moderne sans installation.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Navigateur</w:t>
            </w:r>
          </w:p>
        </w:tc>
        <w:tc>
          <w:tcPr>
            <w:tcW w:type="dxa" w:w="3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Version minimale recommandée</w:t>
            </w:r>
          </w:p>
        </w:tc>
        <w:tc>
          <w:tcPr>
            <w:tcW w:type="dxa" w:w="30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Compatibilité</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Google Chrome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110+</w:t>
            </w:r>
          </w:p>
        </w:tc>
        <w:tc>
          <w:tcPr>
            <w:tcW w:type="dxa" w:w="3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Recommandé</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Mozilla Firefox</w:t>
            </w:r>
          </w:p>
        </w:tc>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110+</w:t>
            </w:r>
          </w:p>
        </w:tc>
        <w:tc>
          <w:tcPr>
            <w:tcW w:type="dxa" w:w="3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Compatible</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Microsoft Edge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110+</w:t>
            </w:r>
          </w:p>
        </w:tc>
        <w:tc>
          <w:tcPr>
            <w:tcW w:type="dxa" w:w="3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Compatible</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Safari (macOS/iOS)</w:t>
            </w:r>
          </w:p>
        </w:tc>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16+</w:t>
            </w:r>
          </w:p>
        </w:tc>
        <w:tc>
          <w:tcPr>
            <w:tcW w:type="dxa" w:w="3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 Compatible</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Internet Explorer</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Toutes versions</w:t>
            </w:r>
          </w:p>
        </w:tc>
        <w:tc>
          <w:tcPr>
            <w:tcW w:type="dxa" w:w="3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 Non supporté</w:t>
            </w:r>
          </w:p>
        </w:tc>
      </w:tr>
    </w:tbl>
    <w:p>
      <w:pPr>
        <w:spacing w:after="160"/>
      </w:pPr>
    </w:p>
    <w:p>
      <w:pPr>
        <w:spacing w:after="160" w:line="280"/>
        <w:jc w:val="left"/>
      </w:pPr>
      <w:r>
        <w:rPr>
          <w:rFonts w:ascii="Arial" w:cs="Arial" w:eastAsia="Arial" w:hAnsi="Arial"/>
          <w:b w:val="false"/>
          <w:bCs w:val="false"/>
          <w:i w:val="false"/>
          <w:iCs w:val="false"/>
          <w:color w:val="2C3E50"/>
          <w:sz w:val="22"/>
          <w:szCs w:val="22"/>
        </w:rPr>
        <w:t xml:space="preserve">L’application est également accessible depuis un smartphone ou une tablette. La mise en page s’adapte automatiquement à la taille de l’écran (design responsive).</w:t>
      </w:r>
    </w:p>
    <w:p>
      <w:pPr>
        <w:pStyle w:val="Heading2"/>
        <w:spacing w:after="160" w:before="280"/>
      </w:pPr>
      <w:r>
        <w:rPr>
          <w:rFonts w:ascii="Arial" w:cs="Arial" w:eastAsia="Arial" w:hAnsi="Arial"/>
          <w:b/>
          <w:bCs/>
          <w:color w:val="2874A6"/>
          <w:sz w:val="26"/>
          <w:szCs w:val="26"/>
        </w:rPr>
        <w:t xml:space="preserve">2.2 Connexion administrateur</w:t>
      </w:r>
    </w:p>
    <w:p>
      <w:pPr>
        <w:spacing w:after="160" w:line="280"/>
        <w:jc w:val="left"/>
      </w:pPr>
      <w:r>
        <w:rPr>
          <w:rFonts w:ascii="Arial" w:cs="Arial" w:eastAsia="Arial" w:hAnsi="Arial"/>
          <w:b w:val="false"/>
          <w:bCs w:val="false"/>
          <w:i w:val="false"/>
          <w:iCs w:val="false"/>
          <w:color w:val="2C3E50"/>
          <w:sz w:val="22"/>
          <w:szCs w:val="22"/>
        </w:rPr>
        <w:t xml:space="preserve">L’accès administrateur est protégé par un email et un mot de passe. Pour vous connecter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1B4F8A" w:val="clear"/>
            <w:tcMar>
              <w:top w:type="dxa" w:w="100"/>
              <w:left w:type="dxa" w:w="100"/>
              <w:bottom w:type="dxa" w:w="100"/>
              <w:right w:type="dxa" w:w="100"/>
            </w:tcMar>
            <w:vAlign w:val="center"/>
          </w:tcPr>
          <w:p>
            <w:pPr>
              <w:jc w:val="center"/>
            </w:pPr>
            <w:r>
              <w:rPr>
                <w:rFonts w:ascii="Arial" w:cs="Arial" w:eastAsia="Arial" w:hAnsi="Arial"/>
                <w:b/>
                <w:bCs/>
                <w:color w:val="FFFFFF"/>
                <w:sz w:val="28"/>
                <w:szCs w:val="28"/>
              </w:rPr>
              <w:t xml:space="preserve">1</w:t>
            </w:r>
          </w:p>
        </w:tc>
        <w:tc>
          <w:tcPr>
            <w:tcW w:type="dxa" w:w="8426"/>
            <w:tcBorders>
              <w:top w:val="single" w:color="CCCCCC" w:sz="1"/>
              <w:left w:val="single" w:color="CCCCCC" w:sz="1"/>
              <w:bottom w:val="single" w:color="CCCCCC" w:sz="1"/>
              <w:right w:val="single" w:color="CCCCCC" w:sz="1"/>
            </w:tcBorders>
            <w:shd w:fill="FAFBFC" w:val="clear"/>
            <w:tcMar>
              <w:top w:type="dxa" w:w="100"/>
              <w:left w:type="dxa" w:w="200"/>
              <w:bottom w:type="dxa" w:w="100"/>
              <w:right w:type="dxa" w:w="150"/>
            </w:tcMar>
          </w:tcPr>
          <w:p>
            <w:pPr>
              <w:spacing w:after="60"/>
            </w:pPr>
            <w:r>
              <w:rPr>
                <w:rFonts w:ascii="Arial" w:cs="Arial" w:eastAsia="Arial" w:hAnsi="Arial"/>
                <w:b/>
                <w:bCs/>
                <w:color w:val="2C3E50"/>
                <w:sz w:val="20"/>
                <w:szCs w:val="20"/>
              </w:rPr>
              <w:t xml:space="preserve">Cliquer sur le cadenas dans la barre latérale</w:t>
            </w:r>
          </w:p>
          <w:p>
            <w:pPr>
              <w:spacing w:after="0"/>
            </w:pPr>
            <w:r>
              <w:rPr>
                <w:rFonts w:ascii="Arial" w:cs="Arial" w:eastAsia="Arial" w:hAnsi="Arial"/>
                <w:i/>
                <w:iCs/>
                <w:color w:val="7F8C8D"/>
                <w:sz w:val="18"/>
                <w:szCs w:val="18"/>
              </w:rPr>
              <w:t xml:space="preserve">Le formulaire de connexion s’affiche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1B4F8A" w:val="clear"/>
            <w:tcMar>
              <w:top w:type="dxa" w:w="100"/>
              <w:left w:type="dxa" w:w="100"/>
              <w:bottom w:type="dxa" w:w="100"/>
              <w:right w:type="dxa" w:w="100"/>
            </w:tcMar>
            <w:vAlign w:val="center"/>
          </w:tcPr>
          <w:p>
            <w:pPr>
              <w:jc w:val="center"/>
            </w:pPr>
            <w:r>
              <w:rPr>
                <w:rFonts w:ascii="Arial" w:cs="Arial" w:eastAsia="Arial" w:hAnsi="Arial"/>
                <w:b/>
                <w:bCs/>
                <w:color w:val="FFFFFF"/>
                <w:sz w:val="28"/>
                <w:szCs w:val="28"/>
              </w:rPr>
              <w:t xml:space="preserve">2</w:t>
            </w:r>
          </w:p>
        </w:tc>
        <w:tc>
          <w:tcPr>
            <w:tcW w:type="dxa" w:w="8426"/>
            <w:tcBorders>
              <w:top w:val="single" w:color="CCCCCC" w:sz="1"/>
              <w:left w:val="single" w:color="CCCCCC" w:sz="1"/>
              <w:bottom w:val="single" w:color="CCCCCC" w:sz="1"/>
              <w:right w:val="single" w:color="CCCCCC" w:sz="1"/>
            </w:tcBorders>
            <w:shd w:fill="FAFBFC" w:val="clear"/>
            <w:tcMar>
              <w:top w:type="dxa" w:w="100"/>
              <w:left w:type="dxa" w:w="200"/>
              <w:bottom w:type="dxa" w:w="100"/>
              <w:right w:type="dxa" w:w="150"/>
            </w:tcMar>
          </w:tcPr>
          <w:p>
            <w:pPr>
              <w:spacing w:after="60"/>
            </w:pPr>
            <w:r>
              <w:rPr>
                <w:rFonts w:ascii="Arial" w:cs="Arial" w:eastAsia="Arial" w:hAnsi="Arial"/>
                <w:b/>
                <w:bCs/>
                <w:color w:val="2C3E50"/>
                <w:sz w:val="20"/>
                <w:szCs w:val="20"/>
              </w:rPr>
              <w:t xml:space="preserve">Saisir vos identifiants</w:t>
            </w:r>
          </w:p>
          <w:p>
            <w:pPr>
              <w:spacing w:after="0"/>
            </w:pPr>
            <w:r>
              <w:rPr>
                <w:rFonts w:ascii="Arial" w:cs="Arial" w:eastAsia="Arial" w:hAnsi="Arial"/>
                <w:i/>
                <w:iCs/>
                <w:color w:val="7F8C8D"/>
                <w:sz w:val="18"/>
                <w:szCs w:val="18"/>
              </w:rPr>
              <w:t xml:space="preserve">Email et mot de passe fournis par l’administrateur principal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1B4F8A" w:val="clear"/>
            <w:tcMar>
              <w:top w:type="dxa" w:w="100"/>
              <w:left w:type="dxa" w:w="100"/>
              <w:bottom w:type="dxa" w:w="100"/>
              <w:right w:type="dxa" w:w="100"/>
            </w:tcMar>
            <w:vAlign w:val="center"/>
          </w:tcPr>
          <w:p>
            <w:pPr>
              <w:jc w:val="center"/>
            </w:pPr>
            <w:r>
              <w:rPr>
                <w:rFonts w:ascii="Arial" w:cs="Arial" w:eastAsia="Arial" w:hAnsi="Arial"/>
                <w:b/>
                <w:bCs/>
                <w:color w:val="FFFFFF"/>
                <w:sz w:val="28"/>
                <w:szCs w:val="28"/>
              </w:rPr>
              <w:t xml:space="preserve">3</w:t>
            </w:r>
          </w:p>
        </w:tc>
        <w:tc>
          <w:tcPr>
            <w:tcW w:type="dxa" w:w="8426"/>
            <w:tcBorders>
              <w:top w:val="single" w:color="CCCCCC" w:sz="1"/>
              <w:left w:val="single" w:color="CCCCCC" w:sz="1"/>
              <w:bottom w:val="single" w:color="CCCCCC" w:sz="1"/>
              <w:right w:val="single" w:color="CCCCCC" w:sz="1"/>
            </w:tcBorders>
            <w:shd w:fill="FAFBFC" w:val="clear"/>
            <w:tcMar>
              <w:top w:type="dxa" w:w="100"/>
              <w:left w:type="dxa" w:w="200"/>
              <w:bottom w:type="dxa" w:w="100"/>
              <w:right w:type="dxa" w:w="150"/>
            </w:tcMar>
          </w:tcPr>
          <w:p>
            <w:pPr>
              <w:spacing w:after="60"/>
            </w:pPr>
            <w:r>
              <w:rPr>
                <w:rFonts w:ascii="Arial" w:cs="Arial" w:eastAsia="Arial" w:hAnsi="Arial"/>
                <w:b/>
                <w:bCs/>
                <w:color w:val="2C3E50"/>
                <w:sz w:val="20"/>
                <w:szCs w:val="20"/>
              </w:rPr>
              <w:t xml:space="preserve">Cliquer sur « Se connecter »</w:t>
            </w:r>
          </w:p>
          <w:p>
            <w:pPr>
              <w:spacing w:after="0"/>
            </w:pPr>
            <w:r>
              <w:rPr>
                <w:rFonts w:ascii="Arial" w:cs="Arial" w:eastAsia="Arial" w:hAnsi="Arial"/>
                <w:i/>
                <w:iCs/>
                <w:color w:val="7F8C8D"/>
                <w:sz w:val="18"/>
                <w:szCs w:val="18"/>
              </w:rPr>
              <w:t xml:space="preserve">En cas d’erreur, le message indique si l’email ou le mot de passe est incorrect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1B4F8A" w:sz="12"/>
              <w:bottom w:val="single" w:color="CCCCCC" w:sz="1"/>
              <w:right w:val="single" w:color="CCCCCC" w:sz="1"/>
            </w:tcBorders>
            <w:shd w:fill="EBF5FB" w:val="clear"/>
            <w:tcMar>
              <w:top w:type="dxa" w:w="120"/>
              <w:left w:type="dxa" w:w="200"/>
              <w:bottom w:type="dxa" w:w="120"/>
              <w:right w:type="dxa" w:w="150"/>
            </w:tcMar>
          </w:tcPr>
          <w:p>
            <w:pPr>
              <w:spacing w:after="80"/>
            </w:pPr>
            <w:r>
              <w:rPr>
                <w:rFonts w:ascii="Arial" w:cs="Arial" w:eastAsia="Arial" w:hAnsi="Arial"/>
                <w:b/>
                <w:bCs/>
                <w:color w:val="1B4F8A"/>
                <w:sz w:val="20"/>
                <w:szCs w:val="20"/>
              </w:rPr>
              <w:t xml:space="preserve">Mot de passe oublié ?</w:t>
            </w:r>
          </w:p>
          <w:p>
            <w:pPr>
              <w:spacing w:after="0"/>
            </w:pPr>
            <w:r>
              <w:rPr>
                <w:rFonts w:ascii="Arial" w:cs="Arial" w:eastAsia="Arial" w:hAnsi="Arial"/>
                <w:color w:val="2C3E50"/>
                <w:sz w:val="20"/>
                <w:szCs w:val="20"/>
              </w:rPr>
              <w:t xml:space="preserve">Contactez l’administrateur principal du système. Il peut envoyer un lien de réinitialisation depuis l’interface Gestion des utilisateurs.</w:t>
            </w:r>
          </w:p>
        </w:tc>
      </w:tr>
    </w:tbl>
    <w:p>
      <w:r>
        <w:br w:type="page"/>
      </w:r>
    </w:p>
    <w:p>
      <w:pPr>
        <w:pStyle w:val="Heading1"/>
        <w:spacing w:after="200" w:before="360"/>
      </w:pPr>
      <w:r>
        <w:rPr>
          <w:rFonts w:ascii="Arial" w:cs="Arial" w:eastAsia="Arial" w:hAnsi="Arial"/>
          <w:b/>
          <w:bCs/>
          <w:color w:val="1B4F8A"/>
          <w:sz w:val="32"/>
          <w:szCs w:val="32"/>
        </w:rPr>
        <w:t xml:space="preserve">3. Guide — Interface publique</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3.1 Navigation dans l’application</w:t>
      </w:r>
    </w:p>
    <w:p>
      <w:pPr>
        <w:spacing w:after="160" w:line="280"/>
        <w:jc w:val="left"/>
      </w:pPr>
      <w:r>
        <w:rPr>
          <w:rFonts w:ascii="Arial" w:cs="Arial" w:eastAsia="Arial" w:hAnsi="Arial"/>
          <w:b w:val="false"/>
          <w:bCs w:val="false"/>
          <w:i w:val="false"/>
          <w:iCs w:val="false"/>
          <w:color w:val="2C3E50"/>
          <w:sz w:val="22"/>
          <w:szCs w:val="22"/>
        </w:rPr>
        <w:t xml:space="preserve">La barre latérale (à gauche sur desktop, en bas sur mobile) permet d’accéder aux différentes sections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Icône / Section</w:t>
            </w:r>
          </w:p>
        </w:tc>
        <w:tc>
          <w:tcPr>
            <w:tcW w:type="dxa" w:w="60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Dashboard</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Carte temps réel, KPI, alertes et recommandation IA</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Graphiques</w:t>
            </w:r>
          </w:p>
        </w:tc>
        <w:tc>
          <w:tcPr>
            <w:tcW w:type="dxa" w:w="6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Analyses historiques : courbes 24h, heatmap, répartition</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IA FlowPort</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Assistant de questions-réponses sur le trafic du PAA</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Rapports</w:t>
            </w:r>
          </w:p>
        </w:tc>
        <w:tc>
          <w:tcPr>
            <w:tcW w:type="dxa" w:w="6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Génération de rapports PDF/Excel sur une période donnée</w:t>
            </w:r>
          </w:p>
        </w:tc>
      </w:tr>
    </w:tbl>
    <w:p>
      <w:pPr>
        <w:spacing w:after="160"/>
      </w:pPr>
    </w:p>
    <w:p>
      <w:pPr>
        <w:pStyle w:val="Heading2"/>
        <w:spacing w:after="160" w:before="280"/>
      </w:pPr>
      <w:r>
        <w:rPr>
          <w:rFonts w:ascii="Arial" w:cs="Arial" w:eastAsia="Arial" w:hAnsi="Arial"/>
          <w:b/>
          <w:bCs/>
          <w:color w:val="2874A6"/>
          <w:sz w:val="26"/>
          <w:szCs w:val="26"/>
        </w:rPr>
        <w:t xml:space="preserve">3.2 Lecture de la carte (Dashboard)</w:t>
      </w:r>
    </w:p>
    <w:p>
      <w:pPr>
        <w:spacing w:after="160" w:line="280"/>
        <w:jc w:val="left"/>
      </w:pPr>
      <w:r>
        <w:rPr>
          <w:rFonts w:ascii="Arial" w:cs="Arial" w:eastAsia="Arial" w:hAnsi="Arial"/>
          <w:b w:val="false"/>
          <w:bCs w:val="false"/>
          <w:i w:val="false"/>
          <w:iCs w:val="false"/>
          <w:color w:val="2C3E50"/>
          <w:sz w:val="22"/>
          <w:szCs w:val="22"/>
        </w:rPr>
        <w:t xml:space="preserve">La carte interactive affiche les trois axes d’accès au PAA. Chaque axe est coloré selon son niveau de congestion actuel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700"/>
        <w:gridCol w:w="3926"/>
      </w:tblGrid>
      <w:tr>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Couleur</w:t>
            </w:r>
          </w:p>
        </w:tc>
        <w:tc>
          <w:tcPr>
            <w:tcW w:type="dxa" w:w="9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Niveau</w:t>
            </w:r>
          </w:p>
        </w:tc>
        <w:tc>
          <w:tcPr>
            <w:tcW w:type="dxa" w:w="17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Label</w:t>
            </w:r>
          </w:p>
        </w:tc>
        <w:tc>
          <w:tcPr>
            <w:tcW w:type="dxa" w:w="39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Interprétation</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Vert foncé (#1E8449)</w:t>
            </w:r>
          </w:p>
        </w:tc>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N1</w:t>
            </w:r>
          </w:p>
        </w:tc>
        <w:tc>
          <w:tcPr>
            <w:tcW w:type="dxa" w:w="1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Fluide</w:t>
            </w:r>
          </w:p>
        </w:tc>
        <w:tc>
          <w:tcPr>
            <w:tcW w:type="dxa" w:w="39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Trafic normal, ratio ≤ 1,10</w:t>
            </w:r>
          </w:p>
        </w:tc>
      </w:tr>
      <w:tr>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Vert (#27AE60)</w:t>
            </w:r>
          </w:p>
        </w:tc>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N2</w:t>
            </w:r>
          </w:p>
        </w:tc>
        <w:tc>
          <w:tcPr>
            <w:tcW w:type="dxa" w:w="1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Bon</w:t>
            </w:r>
          </w:p>
        </w:tc>
        <w:tc>
          <w:tcPr>
            <w:tcW w:type="dxa" w:w="39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Légèrement plus lent, ratio ≤ 1,25</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Jaune (#F1C40F)</w:t>
            </w:r>
          </w:p>
        </w:tc>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N3</w:t>
            </w:r>
          </w:p>
        </w:tc>
        <w:tc>
          <w:tcPr>
            <w:tcW w:type="dxa" w:w="1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Ralenti</w:t>
            </w:r>
          </w:p>
        </w:tc>
        <w:tc>
          <w:tcPr>
            <w:tcW w:type="dxa" w:w="39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Ralentissement notable, ratio ≤ 1,50</w:t>
            </w:r>
          </w:p>
        </w:tc>
      </w:tr>
      <w:tr>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Orange (#E67E22)</w:t>
            </w:r>
          </w:p>
        </w:tc>
        <w:tc>
          <w:tcPr>
            <w:tcW w:type="dxa" w:w="9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N4</w:t>
            </w:r>
          </w:p>
        </w:tc>
        <w:tc>
          <w:tcPr>
            <w:tcW w:type="dxa" w:w="17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Congestionné</w:t>
            </w:r>
          </w:p>
        </w:tc>
        <w:tc>
          <w:tcPr>
            <w:tcW w:type="dxa" w:w="39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Forte congestion, ratio ≤ 2,00</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Rouge (#C0392B)</w:t>
            </w:r>
          </w:p>
        </w:tc>
        <w:tc>
          <w:tcPr>
            <w:tcW w:type="dxa" w:w="9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N5</w:t>
            </w:r>
          </w:p>
        </w:tc>
        <w:tc>
          <w:tcPr>
            <w:tcW w:type="dxa" w:w="17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Très congestionné</w:t>
            </w:r>
          </w:p>
        </w:tc>
        <w:tc>
          <w:tcPr>
            <w:tcW w:type="dxa" w:w="39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Trafic bloqué, ratio &gt; 2,00</w:t>
            </w:r>
          </w:p>
        </w:tc>
      </w:tr>
    </w:tbl>
    <w:p>
      <w:pPr>
        <w:spacing w:after="160"/>
      </w:pPr>
    </w:p>
    <w:p>
      <w:pPr>
        <w:spacing w:after="160" w:line="280"/>
        <w:jc w:val="left"/>
      </w:pPr>
      <w:r>
        <w:rPr>
          <w:rFonts w:ascii="Arial" w:cs="Arial" w:eastAsia="Arial" w:hAnsi="Arial"/>
          <w:b w:val="false"/>
          <w:bCs w:val="false"/>
          <w:i w:val="false"/>
          <w:iCs w:val="false"/>
          <w:color w:val="2C3E50"/>
          <w:sz w:val="22"/>
          <w:szCs w:val="22"/>
        </w:rPr>
        <w:t xml:space="preserve">Le « ratio » représente le rapport entre le temps de trajet actuel et le temps de référence (conditions normales). Un ratio de 1,50 signifie que le trajet prend actuellement 50 % plus de temps qu’en conditions normales.</w:t>
      </w:r>
    </w:p>
    <w:p>
      <w:pPr>
        <w:spacing w:after="160"/>
      </w:pPr>
    </w:p>
    <w:p>
      <w:pPr>
        <w:pStyle w:val="Heading3"/>
        <w:spacing w:after="120" w:before="200"/>
      </w:pPr>
      <w:r>
        <w:rPr>
          <w:rFonts w:ascii="Arial" w:cs="Arial" w:eastAsia="Arial" w:hAnsi="Arial"/>
          <w:b/>
          <w:bCs/>
          <w:color w:val="2C3E50"/>
          <w:sz w:val="22"/>
          <w:szCs w:val="22"/>
        </w:rPr>
        <w:t xml:space="preserve">Comment interagir avec la carte :</w:t>
      </w:r>
    </w:p>
    <w:p>
      <w:pPr>
        <w:pStyle w:val="ListParagraph"/>
        <w:numPr>
          <w:ilvl w:val="0"/>
          <w:numId w:val="2"/>
        </w:numPr>
        <w:spacing w:after="100"/>
      </w:pPr>
      <w:r>
        <w:rPr>
          <w:rFonts w:ascii="Arial" w:cs="Arial" w:eastAsia="Arial" w:hAnsi="Arial"/>
          <w:color w:val="2C3E50"/>
          <w:sz w:val="20"/>
          <w:szCs w:val="20"/>
        </w:rPr>
        <w:t xml:space="preserve">Cliquer sur un axe (trait coloré) : affiche une fenêtre avec le temps de trajet, le retard et la vitesse estimée</w:t>
      </w:r>
    </w:p>
    <w:p>
      <w:pPr>
        <w:pStyle w:val="ListParagraph"/>
        <w:numPr>
          <w:ilvl w:val="0"/>
          <w:numId w:val="2"/>
        </w:numPr>
        <w:spacing w:after="100"/>
      </w:pPr>
      <w:r>
        <w:rPr>
          <w:rFonts w:ascii="Arial" w:cs="Arial" w:eastAsia="Arial" w:hAnsi="Arial"/>
          <w:color w:val="2C3E50"/>
          <w:sz w:val="20"/>
          <w:szCs w:val="20"/>
        </w:rPr>
        <w:t xml:space="preserve">Cliquer sur un tronçon (segment) : affiche les indicateurs propres à ce sous-segment</w:t>
      </w:r>
    </w:p>
    <w:p>
      <w:pPr>
        <w:pStyle w:val="ListParagraph"/>
        <w:numPr>
          <w:ilvl w:val="0"/>
          <w:numId w:val="2"/>
        </w:numPr>
        <w:spacing w:after="100"/>
      </w:pPr>
      <w:r>
        <w:rPr>
          <w:rFonts w:ascii="Arial" w:cs="Arial" w:eastAsia="Arial" w:hAnsi="Arial"/>
          <w:color w:val="2C3E50"/>
          <w:sz w:val="20"/>
          <w:szCs w:val="20"/>
        </w:rPr>
        <w:t xml:space="preserve">Cliquer sur un marqueur numéroté : affiche le nom de l’axe et son temps de référence</w:t>
      </w:r>
    </w:p>
    <w:p>
      <w:pPr>
        <w:pStyle w:val="ListParagraph"/>
        <w:numPr>
          <w:ilvl w:val="0"/>
          <w:numId w:val="2"/>
        </w:numPr>
        <w:spacing w:after="100"/>
      </w:pPr>
      <w:r>
        <w:rPr>
          <w:rFonts w:ascii="Arial" w:cs="Arial" w:eastAsia="Arial" w:hAnsi="Arial"/>
          <w:color w:val="2C3E50"/>
          <w:sz w:val="20"/>
          <w:szCs w:val="20"/>
        </w:rPr>
        <w:t xml:space="preserve">Zoomer / dézoomer : molette de la souris ou boutons + / − en bas à droite de la carte</w:t>
      </w:r>
    </w:p>
    <w:p>
      <w:pPr>
        <w:pStyle w:val="ListParagraph"/>
        <w:numPr>
          <w:ilvl w:val="0"/>
          <w:numId w:val="2"/>
        </w:numPr>
        <w:spacing w:after="100"/>
      </w:pPr>
      <w:r>
        <w:rPr>
          <w:rFonts w:ascii="Arial" w:cs="Arial" w:eastAsia="Arial" w:hAnsi="Arial"/>
          <w:color w:val="2C3E50"/>
          <w:sz w:val="20"/>
          <w:szCs w:val="20"/>
        </w:rPr>
        <w:t xml:space="preserve">Déplacer la vue : cliquer-glisser sur la carte</w:t>
      </w:r>
    </w:p>
    <w:p>
      <w:pPr>
        <w:spacing w:after="160"/>
      </w:pPr>
    </w:p>
    <w:p>
      <w:pPr>
        <w:pStyle w:val="Heading3"/>
        <w:spacing w:after="120" w:before="200"/>
      </w:pPr>
      <w:r>
        <w:rPr>
          <w:rFonts w:ascii="Arial" w:cs="Arial" w:eastAsia="Arial" w:hAnsi="Arial"/>
          <w:b/>
          <w:bCs/>
          <w:color w:val="2C3E50"/>
          <w:sz w:val="22"/>
          <w:szCs w:val="22"/>
        </w:rPr>
        <w:t xml:space="preserve">Modes de carte :</w:t>
      </w:r>
    </w:p>
    <w:p>
      <w:pPr>
        <w:pStyle w:val="ListParagraph"/>
        <w:numPr>
          <w:ilvl w:val="0"/>
          <w:numId w:val="2"/>
        </w:numPr>
        <w:spacing w:after="100"/>
      </w:pPr>
      <w:r>
        <w:rPr>
          <w:rFonts w:ascii="Arial" w:cs="Arial" w:eastAsia="Arial" w:hAnsi="Arial"/>
          <w:color w:val="2C3E50"/>
          <w:sz w:val="20"/>
          <w:szCs w:val="20"/>
        </w:rPr>
        <w:t xml:space="preserve">Temps réel : données live actualisées toutes les 10 minutes (source GitHub Actions) ou 2 minutes (TomTom navigateur)</w:t>
      </w:r>
    </w:p>
    <w:p>
      <w:pPr>
        <w:pStyle w:val="ListParagraph"/>
        <w:numPr>
          <w:ilvl w:val="0"/>
          <w:numId w:val="2"/>
        </w:numPr>
        <w:spacing w:after="100"/>
      </w:pPr>
      <w:r>
        <w:rPr>
          <w:rFonts w:ascii="Arial" w:cs="Arial" w:eastAsia="Arial" w:hAnsi="Arial"/>
          <w:color w:val="2C3E50"/>
          <w:sz w:val="20"/>
          <w:szCs w:val="20"/>
        </w:rPr>
        <w:t xml:space="preserve">Prévisions ML : coloration selon le niveau de congestion prédit par le modèle Random Forest pour l’heure actuelle</w:t>
      </w:r>
    </w:p>
    <w:p>
      <w:pPr>
        <w:pStyle w:val="Heading2"/>
        <w:spacing w:after="160" w:before="280"/>
      </w:pPr>
      <w:r>
        <w:rPr>
          <w:rFonts w:ascii="Arial" w:cs="Arial" w:eastAsia="Arial" w:hAnsi="Arial"/>
          <w:b/>
          <w:bCs/>
          <w:color w:val="2874A6"/>
          <w:sz w:val="26"/>
          <w:szCs w:val="26"/>
        </w:rPr>
        <w:t xml:space="preserve">3.3 Les 5 cartes KPI</w:t>
      </w:r>
    </w:p>
    <w:p>
      <w:pPr>
        <w:spacing w:after="160" w:line="280"/>
        <w:jc w:val="left"/>
      </w:pPr>
      <w:r>
        <w:rPr>
          <w:rFonts w:ascii="Arial" w:cs="Arial" w:eastAsia="Arial" w:hAnsi="Arial"/>
          <w:b w:val="false"/>
          <w:bCs w:val="false"/>
          <w:i w:val="false"/>
          <w:iCs w:val="false"/>
          <w:color w:val="2C3E50"/>
          <w:sz w:val="22"/>
          <w:szCs w:val="22"/>
        </w:rPr>
        <w:t xml:space="preserve">Cinq indicateurs clés s’affichent en haut du Dashboard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26"/>
      </w:tblGrid>
      <w:tr>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KPI</w:t>
            </w:r>
          </w:p>
        </w:tc>
        <w:tc>
          <w:tcPr>
            <w:tcW w:type="dxa" w:w="4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Signification</w:t>
            </w:r>
          </w:p>
        </w:tc>
        <w:tc>
          <w:tcPr>
            <w:tcW w:type="dxa" w:w="25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Unité</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Temps moyen</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Moyenne des temps de trajet des 3 axes (sens aller)</w:t>
            </w:r>
          </w:p>
        </w:tc>
        <w:tc>
          <w:tcPr>
            <w:tcW w:type="dxa" w:w="2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minutes</w:t>
            </w:r>
          </w:p>
        </w:tc>
      </w:tr>
      <w:tr>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Tronçon critique</w:t>
            </w:r>
          </w:p>
        </w:tc>
        <w:tc>
          <w:tcPr>
            <w:tcW w:type="dxa" w:w="4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présentant le niveau de congestion le plus élevé</w:t>
            </w:r>
          </w:p>
        </w:tc>
        <w:tc>
          <w:tcPr>
            <w:tcW w:type="dxa" w:w="2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Nom + niveau N1–N5</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Retard moyen</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Retard moyen par rapport aux conditions normales</w:t>
            </w:r>
          </w:p>
        </w:tc>
        <w:tc>
          <w:tcPr>
            <w:tcW w:type="dxa" w:w="2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minutes</w:t>
            </w:r>
          </w:p>
        </w:tc>
      </w:tr>
      <w:tr>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Axes dégradés</w:t>
            </w:r>
          </w:p>
        </w:tc>
        <w:tc>
          <w:tcPr>
            <w:tcW w:type="dxa" w:w="4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Pourcentage d’axes avec un niveau N3 ou supérieur</w:t>
            </w:r>
          </w:p>
        </w:tc>
        <w:tc>
          <w:tcPr>
            <w:tcW w:type="dxa" w:w="2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Vitesse moy.</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Vitesse moyenne de circulation tous axes confondus</w:t>
            </w:r>
          </w:p>
        </w:tc>
        <w:tc>
          <w:tcPr>
            <w:tcW w:type="dxa" w:w="2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km/h</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1B4F8A" w:sz="12"/>
              <w:bottom w:val="single" w:color="CCCCCC" w:sz="1"/>
              <w:right w:val="single" w:color="CCCCCC" w:sz="1"/>
            </w:tcBorders>
            <w:shd w:fill="EBF5FB" w:val="clear"/>
            <w:tcMar>
              <w:top w:type="dxa" w:w="120"/>
              <w:left w:type="dxa" w:w="200"/>
              <w:bottom w:type="dxa" w:w="120"/>
              <w:right w:type="dxa" w:w="150"/>
            </w:tcMar>
          </w:tcPr>
          <w:p>
            <w:pPr>
              <w:spacing w:after="80"/>
            </w:pPr>
            <w:r>
              <w:rPr>
                <w:rFonts w:ascii="Arial" w:cs="Arial" w:eastAsia="Arial" w:hAnsi="Arial"/>
                <w:b/>
                <w:bCs/>
                <w:color w:val="1B4F8A"/>
                <w:sz w:val="20"/>
                <w:szCs w:val="20"/>
              </w:rPr>
              <w:t xml:space="preserve">Indicateur LIVE</w:t>
            </w:r>
          </w:p>
          <w:p>
            <w:pPr>
              <w:spacing w:after="0"/>
            </w:pPr>
            <w:r>
              <w:rPr>
                <w:rFonts w:ascii="Arial" w:cs="Arial" w:eastAsia="Arial" w:hAnsi="Arial"/>
                <w:color w:val="2C3E50"/>
                <w:sz w:val="20"/>
                <w:szCs w:val="20"/>
              </w:rPr>
              <w:t xml:space="preserve">Un badge vert « LIVE » avec un point clignotant indique que les données sont à jour. Un compteur affiche le temps restant avant la prochaine actualisation automatique (format mm:ss).</w:t>
            </w:r>
          </w:p>
        </w:tc>
      </w:tr>
    </w:tbl>
    <w:p>
      <w:pPr>
        <w:spacing w:after="160"/>
      </w:pPr>
    </w:p>
    <w:p>
      <w:pPr>
        <w:pStyle w:val="Heading2"/>
        <w:spacing w:after="160" w:before="280"/>
      </w:pPr>
      <w:r>
        <w:rPr>
          <w:rFonts w:ascii="Arial" w:cs="Arial" w:eastAsia="Arial" w:hAnsi="Arial"/>
          <w:b/>
          <w:bCs/>
          <w:color w:val="2874A6"/>
          <w:sz w:val="26"/>
          <w:szCs w:val="26"/>
        </w:rPr>
        <w:t xml:space="preserve">3.4 Panneau « Alertes actives »</w:t>
      </w:r>
    </w:p>
    <w:p>
      <w:pPr>
        <w:spacing w:after="160" w:line="280"/>
        <w:jc w:val="left"/>
      </w:pPr>
      <w:r>
        <w:rPr>
          <w:rFonts w:ascii="Arial" w:cs="Arial" w:eastAsia="Arial" w:hAnsi="Arial"/>
          <w:b w:val="false"/>
          <w:bCs w:val="false"/>
          <w:i w:val="false"/>
          <w:iCs w:val="false"/>
          <w:color w:val="2C3E50"/>
          <w:sz w:val="22"/>
          <w:szCs w:val="22"/>
        </w:rPr>
        <w:t xml:space="preserve">Le panneau latéral droit liste tous les axes dont le niveau de congestion est N3 ou supérieur. Pour chaque alerte :</w:t>
      </w:r>
    </w:p>
    <w:p>
      <w:pPr>
        <w:pStyle w:val="ListParagraph"/>
        <w:numPr>
          <w:ilvl w:val="0"/>
          <w:numId w:val="2"/>
        </w:numPr>
        <w:spacing w:after="100"/>
      </w:pPr>
      <w:r>
        <w:rPr>
          <w:rFonts w:ascii="Arial" w:cs="Arial" w:eastAsia="Arial" w:hAnsi="Arial"/>
          <w:color w:val="2C3E50"/>
          <w:sz w:val="20"/>
          <w:szCs w:val="20"/>
        </w:rPr>
        <w:t xml:space="preserve">Nom de l’axe (ex. : CARENA)</w:t>
      </w:r>
    </w:p>
    <w:p>
      <w:pPr>
        <w:pStyle w:val="ListParagraph"/>
        <w:numPr>
          <w:ilvl w:val="0"/>
          <w:numId w:val="2"/>
        </w:numPr>
        <w:spacing w:after="100"/>
      </w:pPr>
      <w:r>
        <w:rPr>
          <w:rFonts w:ascii="Arial" w:cs="Arial" w:eastAsia="Arial" w:hAnsi="Arial"/>
          <w:color w:val="2C3E50"/>
          <w:sz w:val="20"/>
          <w:szCs w:val="20"/>
        </w:rPr>
        <w:t xml:space="preserve">Temps de trajet actuel et retard en minutes</w:t>
      </w:r>
    </w:p>
    <w:p>
      <w:pPr>
        <w:pStyle w:val="ListParagraph"/>
        <w:numPr>
          <w:ilvl w:val="0"/>
          <w:numId w:val="2"/>
        </w:numPr>
        <w:spacing w:after="100"/>
      </w:pPr>
      <w:r>
        <w:rPr>
          <w:rFonts w:ascii="Arial" w:cs="Arial" w:eastAsia="Arial" w:hAnsi="Arial"/>
          <w:color w:val="2C3E50"/>
          <w:sz w:val="20"/>
          <w:szCs w:val="20"/>
        </w:rPr>
        <w:t xml:space="preserve">Indicateur coloré (point rouge/orange selon le niveau)</w:t>
      </w:r>
    </w:p>
    <w:p>
      <w:pPr>
        <w:spacing w:after="160" w:line="280"/>
        <w:jc w:val="left"/>
      </w:pPr>
      <w:r>
        <w:rPr>
          <w:rFonts w:ascii="Arial" w:cs="Arial" w:eastAsia="Arial" w:hAnsi="Arial"/>
          <w:b w:val="false"/>
          <w:bCs w:val="false"/>
          <w:i w:val="false"/>
          <w:iCs w:val="false"/>
          <w:color w:val="2C3E50"/>
          <w:sz w:val="22"/>
          <w:szCs w:val="22"/>
        </w:rPr>
        <w:t xml:space="preserve">Si aucune alerte n’est affichée : « Aucune alerte — trafic fluide ». Ce message indique que les trois axes sont en conditions normales ou légèrement dégradées.</w:t>
      </w:r>
    </w:p>
    <w:p>
      <w:pPr>
        <w:pStyle w:val="Heading2"/>
        <w:spacing w:after="160" w:before="280"/>
      </w:pPr>
      <w:r>
        <w:rPr>
          <w:rFonts w:ascii="Arial" w:cs="Arial" w:eastAsia="Arial" w:hAnsi="Arial"/>
          <w:b/>
          <w:bCs/>
          <w:color w:val="2874A6"/>
          <w:sz w:val="26"/>
          <w:szCs w:val="26"/>
        </w:rPr>
        <w:t xml:space="preserve">3.5 Assistant IA (section IA FlowPort)</w:t>
      </w:r>
    </w:p>
    <w:p>
      <w:pPr>
        <w:spacing w:after="160" w:line="280"/>
        <w:jc w:val="left"/>
      </w:pPr>
      <w:r>
        <w:rPr>
          <w:rFonts w:ascii="Arial" w:cs="Arial" w:eastAsia="Arial" w:hAnsi="Arial"/>
          <w:b w:val="false"/>
          <w:bCs w:val="false"/>
          <w:i w:val="false"/>
          <w:iCs w:val="false"/>
          <w:color w:val="2C3E50"/>
          <w:sz w:val="22"/>
          <w:szCs w:val="22"/>
        </w:rPr>
        <w:t xml:space="preserve">L’assistant IA répond en langage naturel à toutes vos questions sur le trafic du PAA. Il a accès aux données de trafic en temps réel. Exemples de questions :</w:t>
      </w:r>
    </w:p>
    <w:p>
      <w:pPr>
        <w:pStyle w:val="ListParagraph"/>
        <w:numPr>
          <w:ilvl w:val="0"/>
          <w:numId w:val="2"/>
        </w:numPr>
        <w:spacing w:after="100"/>
      </w:pPr>
      <w:r>
        <w:rPr>
          <w:rFonts w:ascii="Arial" w:cs="Arial" w:eastAsia="Arial" w:hAnsi="Arial"/>
          <w:color w:val="2C3E50"/>
          <w:sz w:val="20"/>
          <w:szCs w:val="20"/>
        </w:rPr>
        <w:t xml:space="preserve">« Quel est l’axe le plus congestionné en ce moment ? »</w:t>
      </w:r>
    </w:p>
    <w:p>
      <w:pPr>
        <w:pStyle w:val="ListParagraph"/>
        <w:numPr>
          <w:ilvl w:val="0"/>
          <w:numId w:val="2"/>
        </w:numPr>
        <w:spacing w:after="100"/>
      </w:pPr>
      <w:r>
        <w:rPr>
          <w:rFonts w:ascii="Arial" w:cs="Arial" w:eastAsia="Arial" w:hAnsi="Arial"/>
          <w:color w:val="2C3E50"/>
          <w:sz w:val="20"/>
          <w:szCs w:val="20"/>
        </w:rPr>
        <w:t xml:space="preserve">« Quel est le meilleur moment pour quitter le port ce soir ? »</w:t>
      </w:r>
    </w:p>
    <w:p>
      <w:pPr>
        <w:pStyle w:val="ListParagraph"/>
        <w:numPr>
          <w:ilvl w:val="0"/>
          <w:numId w:val="2"/>
        </w:numPr>
        <w:spacing w:after="100"/>
      </w:pPr>
      <w:r>
        <w:rPr>
          <w:rFonts w:ascii="Arial" w:cs="Arial" w:eastAsia="Arial" w:hAnsi="Arial"/>
          <w:color w:val="2C3E50"/>
          <w:sz w:val="20"/>
          <w:szCs w:val="20"/>
        </w:rPr>
        <w:t xml:space="preserve">« Y a-t-il des perturbations prévues cet après-midi sur l’axe CARENA ? »</w:t>
      </w:r>
    </w:p>
    <w:p>
      <w:pPr>
        <w:pStyle w:val="ListParagraph"/>
        <w:numPr>
          <w:ilvl w:val="0"/>
          <w:numId w:val="2"/>
        </w:numPr>
        <w:spacing w:after="100"/>
      </w:pPr>
      <w:r>
        <w:rPr>
          <w:rFonts w:ascii="Arial" w:cs="Arial" w:eastAsia="Arial" w:hAnsi="Arial"/>
          <w:color w:val="2C3E50"/>
          <w:sz w:val="20"/>
          <w:szCs w:val="20"/>
        </w:rPr>
        <w:t xml:space="preserve">« Combien de temps de retard est prévu sur la route Toyota CFAO ? »</w:t>
      </w:r>
    </w:p>
    <w:p>
      <w:pPr>
        <w:spacing w:after="160" w:line="280"/>
        <w:jc w:val="left"/>
      </w:pPr>
      <w:r>
        <w:rPr>
          <w:rFonts w:ascii="Arial" w:cs="Arial" w:eastAsia="Arial" w:hAnsi="Arial"/>
          <w:b w:val="false"/>
          <w:bCs w:val="false"/>
          <w:i w:val="false"/>
          <w:iCs w:val="false"/>
          <w:color w:val="2C3E50"/>
          <w:sz w:val="22"/>
          <w:szCs w:val="22"/>
        </w:rPr>
        <w:t xml:space="preserve">La conversation est mémorisée pendant toute la session (rechargement de page = nouvelle session).</w:t>
      </w:r>
    </w:p>
    <w:p>
      <w:r>
        <w:br w:type="page"/>
      </w:r>
    </w:p>
    <w:p>
      <w:pPr>
        <w:pStyle w:val="Heading1"/>
        <w:spacing w:after="200" w:before="360"/>
      </w:pPr>
      <w:r>
        <w:rPr>
          <w:rFonts w:ascii="Arial" w:cs="Arial" w:eastAsia="Arial" w:hAnsi="Arial"/>
          <w:b/>
          <w:bCs/>
          <w:color w:val="1B4F8A"/>
          <w:sz w:val="32"/>
          <w:szCs w:val="32"/>
        </w:rPr>
        <w:t xml:space="preserve">4. Guide — Page Graphiques</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4.1 Accéder aux graphiques</w:t>
      </w:r>
    </w:p>
    <w:p>
      <w:pPr>
        <w:spacing w:after="160" w:line="280"/>
        <w:jc w:val="left"/>
      </w:pPr>
      <w:r>
        <w:rPr>
          <w:rFonts w:ascii="Arial" w:cs="Arial" w:eastAsia="Arial" w:hAnsi="Arial"/>
          <w:b w:val="false"/>
          <w:bCs w:val="false"/>
          <w:i w:val="false"/>
          <w:iCs w:val="false"/>
          <w:color w:val="2C3E50"/>
          <w:sz w:val="22"/>
          <w:szCs w:val="22"/>
        </w:rPr>
        <w:t xml:space="preserve">Cliquer sur « Graphiques » dans la barre de navigation. La page charge les données disponibles (historiques ou collecte live selon la source sélectionnée).</w:t>
      </w:r>
    </w:p>
    <w:p>
      <w:pPr>
        <w:pStyle w:val="Heading2"/>
        <w:spacing w:after="160" w:before="280"/>
      </w:pPr>
      <w:r>
        <w:rPr>
          <w:rFonts w:ascii="Arial" w:cs="Arial" w:eastAsia="Arial" w:hAnsi="Arial"/>
          <w:b/>
          <w:bCs/>
          <w:color w:val="2874A6"/>
          <w:sz w:val="26"/>
          <w:szCs w:val="26"/>
        </w:rPr>
        <w:t xml:space="preserve">4.2 Contrôles de filtrage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3726"/>
      </w:tblGrid>
      <w:tr>
        <w:tc>
          <w:tcPr>
            <w:tcW w:type="dxa" w:w="18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Filtre</w:t>
            </w:r>
          </w:p>
        </w:tc>
        <w:tc>
          <w:tcPr>
            <w:tcW w:type="dxa" w:w="3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Options</w:t>
            </w:r>
          </w:p>
        </w:tc>
        <w:tc>
          <w:tcPr>
            <w:tcW w:type="dxa" w:w="37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Effet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Source</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 live / Données historiques</w:t>
            </w:r>
          </w:p>
        </w:tc>
        <w:tc>
          <w:tcPr>
            <w:tcW w:type="dxa" w:w="37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Bascule entre collecte_auto (live) et mesures (historique Fév. 2025)</w:t>
            </w:r>
          </w:p>
        </w:tc>
      </w:tr>
      <w:tr>
        <w:tc>
          <w:tcPr>
            <w:tcW w:type="dxa" w:w="1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Période</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Tous / Jours ouvrables / Week-end</w:t>
            </w:r>
          </w:p>
        </w:tc>
        <w:tc>
          <w:tcPr>
            <w:tcW w:type="dxa" w:w="37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Filtre les données selon le type de jour</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1 / Axe 2 / Axe 3</w:t>
            </w:r>
          </w:p>
        </w:tc>
        <w:tc>
          <w:tcPr>
            <w:tcW w:type="dxa" w:w="37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Sélectionne l’axe à analyser</w:t>
            </w:r>
          </w:p>
        </w:tc>
      </w:tr>
      <w:tr>
        <w:tc>
          <w:tcPr>
            <w:tcW w:type="dxa" w:w="1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Sens</w:t>
            </w:r>
          </w:p>
        </w:tc>
        <w:tc>
          <w:tcPr>
            <w:tcW w:type="dxa" w:w="3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Aller / Retour</w:t>
            </w:r>
          </w:p>
        </w:tc>
        <w:tc>
          <w:tcPr>
            <w:tcW w:type="dxa" w:w="37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Direction de circulation</w:t>
            </w:r>
          </w:p>
        </w:tc>
      </w:tr>
    </w:tbl>
    <w:p>
      <w:pPr>
        <w:spacing w:after="160"/>
      </w:pPr>
    </w:p>
    <w:p>
      <w:pPr>
        <w:pStyle w:val="Heading2"/>
        <w:spacing w:after="160" w:before="280"/>
      </w:pPr>
      <w:r>
        <w:rPr>
          <w:rFonts w:ascii="Arial" w:cs="Arial" w:eastAsia="Arial" w:hAnsi="Arial"/>
          <w:b/>
          <w:bCs/>
          <w:color w:val="2874A6"/>
          <w:sz w:val="26"/>
          <w:szCs w:val="26"/>
        </w:rPr>
        <w:t xml:space="preserve">4.3 Courbe 24 heures</w:t>
      </w:r>
    </w:p>
    <w:p>
      <w:pPr>
        <w:spacing w:after="160" w:line="280"/>
        <w:jc w:val="left"/>
      </w:pPr>
      <w:r>
        <w:rPr>
          <w:rFonts w:ascii="Arial" w:cs="Arial" w:eastAsia="Arial" w:hAnsi="Arial"/>
          <w:b w:val="false"/>
          <w:bCs w:val="false"/>
          <w:i w:val="false"/>
          <w:iCs w:val="false"/>
          <w:color w:val="2C3E50"/>
          <w:sz w:val="22"/>
          <w:szCs w:val="22"/>
        </w:rPr>
        <w:t xml:space="preserve">Affiche l’évolution du temps de trajet moyen heure par heure (0h–23h) pour l’axe et le sens sélectionnés. Les heures sans données apparaissent vides.</w:t>
      </w:r>
    </w:p>
    <w:p>
      <w:pPr>
        <w:spacing w:after="160" w:line="280"/>
        <w:jc w:val="left"/>
      </w:pPr>
      <w:r>
        <w:rPr>
          <w:rFonts w:ascii="Arial" w:cs="Arial" w:eastAsia="Arial" w:hAnsi="Arial"/>
          <w:b w:val="false"/>
          <w:bCs w:val="false"/>
          <w:i w:val="false"/>
          <w:iCs w:val="false"/>
          <w:color w:val="2C3E50"/>
          <w:sz w:val="22"/>
          <w:szCs w:val="22"/>
        </w:rPr>
        <w:t xml:space="preserve">Lecture : un pic vers 7h–9h et 16h–19h indique les heures de pointe habituelles.</w:t>
      </w:r>
    </w:p>
    <w:p>
      <w:pPr>
        <w:pStyle w:val="Heading2"/>
        <w:spacing w:after="160" w:before="280"/>
      </w:pPr>
      <w:r>
        <w:rPr>
          <w:rFonts w:ascii="Arial" w:cs="Arial" w:eastAsia="Arial" w:hAnsi="Arial"/>
          <w:b/>
          <w:bCs/>
          <w:color w:val="2874A6"/>
          <w:sz w:val="26"/>
          <w:szCs w:val="26"/>
        </w:rPr>
        <w:t xml:space="preserve">4.4 Comparatif des axes</w:t>
      </w:r>
    </w:p>
    <w:p>
      <w:pPr>
        <w:spacing w:after="160" w:line="280"/>
        <w:jc w:val="left"/>
      </w:pPr>
      <w:r>
        <w:rPr>
          <w:rFonts w:ascii="Arial" w:cs="Arial" w:eastAsia="Arial" w:hAnsi="Arial"/>
          <w:b w:val="false"/>
          <w:bCs w:val="false"/>
          <w:i w:val="false"/>
          <w:iCs w:val="false"/>
          <w:color w:val="2C3E50"/>
          <w:sz w:val="22"/>
          <w:szCs w:val="22"/>
        </w:rPr>
        <w:t xml:space="preserve">Bar chart affichant pour chaque axe (CARENA, Toyota CFAO, SODECI) le temps de trajet moyen calculé sur toute la période filtrée. Permet d’identifier rapidement l’axe le plus chargé sur la période.</w:t>
      </w:r>
    </w:p>
    <w:p>
      <w:pPr>
        <w:pStyle w:val="Heading2"/>
        <w:spacing w:after="160" w:before="280"/>
      </w:pPr>
      <w:r>
        <w:rPr>
          <w:rFonts w:ascii="Arial" w:cs="Arial" w:eastAsia="Arial" w:hAnsi="Arial"/>
          <w:b/>
          <w:bCs/>
          <w:color w:val="2874A6"/>
          <w:sz w:val="26"/>
          <w:szCs w:val="26"/>
        </w:rPr>
        <w:t xml:space="preserve">4.5 Heatmap 7 jours × 24 heures</w:t>
      </w:r>
    </w:p>
    <w:p>
      <w:pPr>
        <w:spacing w:after="160" w:line="280"/>
        <w:jc w:val="left"/>
      </w:pPr>
      <w:r>
        <w:rPr>
          <w:rFonts w:ascii="Arial" w:cs="Arial" w:eastAsia="Arial" w:hAnsi="Arial"/>
          <w:b w:val="false"/>
          <w:bCs w:val="false"/>
          <w:i w:val="false"/>
          <w:iCs w:val="false"/>
          <w:color w:val="2C3E50"/>
          <w:sz w:val="22"/>
          <w:szCs w:val="22"/>
        </w:rPr>
        <w:t xml:space="preserve">Grille de 168 cellules (7 jours × 24 heures) colorées selon le niveau de congestion moyen. Axe vertical = jours de la semaine (dimanche à samedi), axe horizontal = heures (0h à 23h).</w:t>
      </w:r>
    </w:p>
    <w:p>
      <w:pPr>
        <w:spacing w:after="160" w:line="280"/>
        <w:jc w:val="left"/>
      </w:pPr>
      <w:r>
        <w:rPr>
          <w:rFonts w:ascii="Arial" w:cs="Arial" w:eastAsia="Arial" w:hAnsi="Arial"/>
          <w:b w:val="false"/>
          <w:bCs w:val="false"/>
          <w:i w:val="false"/>
          <w:iCs w:val="false"/>
          <w:color w:val="2C3E50"/>
          <w:sz w:val="22"/>
          <w:szCs w:val="22"/>
        </w:rPr>
        <w:t xml:space="preserve">Lecture : les cellules jaunes/orange/rouges indiquent les créneaux chroniquement dégradés. Utile pour planifier les rotations sur les créneaux les moins chargés.</w:t>
      </w:r>
    </w:p>
    <w:p>
      <w:pPr>
        <w:pStyle w:val="Heading2"/>
        <w:spacing w:after="160" w:before="280"/>
      </w:pPr>
      <w:r>
        <w:rPr>
          <w:rFonts w:ascii="Arial" w:cs="Arial" w:eastAsia="Arial" w:hAnsi="Arial"/>
          <w:b/>
          <w:bCs/>
          <w:color w:val="2874A6"/>
          <w:sz w:val="26"/>
          <w:szCs w:val="26"/>
        </w:rPr>
        <w:t xml:space="preserve">4.6 Répartition des niveaux (donut)</w:t>
      </w:r>
    </w:p>
    <w:p>
      <w:pPr>
        <w:spacing w:after="160" w:line="280"/>
        <w:jc w:val="left"/>
      </w:pPr>
      <w:r>
        <w:rPr>
          <w:rFonts w:ascii="Arial" w:cs="Arial" w:eastAsia="Arial" w:hAnsi="Arial"/>
          <w:b w:val="false"/>
          <w:bCs w:val="false"/>
          <w:i w:val="false"/>
          <w:iCs w:val="false"/>
          <w:color w:val="2C3E50"/>
          <w:sz w:val="22"/>
          <w:szCs w:val="22"/>
        </w:rPr>
        <w:t xml:space="preserve">Graphique circulaire montrant la distribution des mesures par catégorie de congestion : Fluide, Modéré, Dense, Congestionné. Pourcentage et nombre d’occurrences affichés. Filtrable par période (ouvrables / week-end).</w:t>
      </w:r>
    </w:p>
    <w:p>
      <w:r>
        <w:br w:type="page"/>
      </w:r>
    </w:p>
    <w:p>
      <w:pPr>
        <w:pStyle w:val="Heading1"/>
        <w:spacing w:after="200" w:before="360"/>
      </w:pPr>
      <w:r>
        <w:rPr>
          <w:rFonts w:ascii="Arial" w:cs="Arial" w:eastAsia="Arial" w:hAnsi="Arial"/>
          <w:b/>
          <w:bCs/>
          <w:color w:val="1B4F8A"/>
          <w:sz w:val="32"/>
          <w:szCs w:val="32"/>
        </w:rPr>
        <w:t xml:space="preserve">5. Guide — Interface administrateur</w:t>
      </w:r>
    </w:p>
    <w:p>
      <w:pPr>
        <w:pBdr>
          <w:bottom w:val="single" w:color="1B4F8A" w:sz="4" w:space="1"/>
        </w:pBdr>
        <w:spacing w:after="240"/>
      </w:pPr>
    </w:p>
    <w:p>
      <w:pPr>
        <w:spacing w:after="160" w:line="280"/>
        <w:jc w:val="left"/>
      </w:pPr>
      <w:r>
        <w:rPr>
          <w:rFonts w:ascii="Arial" w:cs="Arial" w:eastAsia="Arial" w:hAnsi="Arial"/>
          <w:b w:val="false"/>
          <w:bCs w:val="false"/>
          <w:i w:val="false"/>
          <w:iCs w:val="false"/>
          <w:color w:val="2C3E50"/>
          <w:sz w:val="22"/>
          <w:szCs w:val="22"/>
        </w:rPr>
        <w:t xml:space="preserve">Toutes les fonctions ci-dessous nécessitent une connexion avec un compte de rôle « admin ». Les utilisateurs avec le rôle « public » n’y ont pas accès.</w:t>
      </w:r>
    </w:p>
    <w:p>
      <w:pPr>
        <w:spacing w:after="160"/>
      </w:pPr>
    </w:p>
    <w:p>
      <w:pPr>
        <w:pStyle w:val="Heading2"/>
        <w:spacing w:after="160" w:before="280"/>
      </w:pPr>
      <w:r>
        <w:rPr>
          <w:rFonts w:ascii="Arial" w:cs="Arial" w:eastAsia="Arial" w:hAnsi="Arial"/>
          <w:b/>
          <w:bCs/>
          <w:color w:val="2874A6"/>
          <w:sz w:val="26"/>
          <w:szCs w:val="26"/>
        </w:rPr>
        <w:t xml:space="preserve">5.1 Gestion des axes (AdminPage — section Axes)</w:t>
      </w:r>
    </w:p>
    <w:p>
      <w:pPr>
        <w:spacing w:after="160" w:line="280"/>
        <w:jc w:val="left"/>
      </w:pPr>
      <w:r>
        <w:rPr>
          <w:rFonts w:ascii="Arial" w:cs="Arial" w:eastAsia="Arial" w:hAnsi="Arial"/>
          <w:b w:val="false"/>
          <w:bCs w:val="false"/>
          <w:i w:val="false"/>
          <w:iCs w:val="false"/>
          <w:color w:val="2C3E50"/>
          <w:sz w:val="22"/>
          <w:szCs w:val="22"/>
        </w:rPr>
        <w:t xml:space="preserve">Cette section permet de créer, modifier et supprimer les axes surveillés.</w:t>
      </w:r>
    </w:p>
    <w:p>
      <w:pPr>
        <w:pStyle w:val="Heading3"/>
        <w:spacing w:after="120" w:before="200"/>
      </w:pPr>
      <w:r>
        <w:rPr>
          <w:rFonts w:ascii="Arial" w:cs="Arial" w:eastAsia="Arial" w:hAnsi="Arial"/>
          <w:b/>
          <w:bCs/>
          <w:color w:val="2C3E50"/>
          <w:sz w:val="22"/>
          <w:szCs w:val="22"/>
        </w:rPr>
        <w:t xml:space="preserve">Ajouter un axe :</w:t>
      </w:r>
    </w:p>
    <w:p>
      <w:pPr>
        <w:pStyle w:val="ListParagraph"/>
        <w:numPr>
          <w:ilvl w:val="0"/>
          <w:numId w:val="3"/>
        </w:numPr>
        <w:spacing w:after="100"/>
      </w:pPr>
      <w:r>
        <w:rPr>
          <w:rFonts w:ascii="Arial" w:cs="Arial" w:eastAsia="Arial" w:hAnsi="Arial"/>
          <w:color w:val="2C3E50"/>
          <w:sz w:val="20"/>
          <w:szCs w:val="20"/>
        </w:rPr>
        <w:t xml:space="preserve">Cliquer sur « + Ajouter un axe »</w:t>
      </w:r>
    </w:p>
    <w:p>
      <w:pPr>
        <w:pStyle w:val="ListParagraph"/>
        <w:numPr>
          <w:ilvl w:val="0"/>
          <w:numId w:val="3"/>
        </w:numPr>
        <w:spacing w:after="100"/>
      </w:pPr>
      <w:r>
        <w:rPr>
          <w:rFonts w:ascii="Arial" w:cs="Arial" w:eastAsia="Arial" w:hAnsi="Arial"/>
          <w:color w:val="2C3E50"/>
          <w:sz w:val="20"/>
          <w:szCs w:val="20"/>
        </w:rPr>
        <w:t xml:space="preserve">Remplir le formulaire : nom complet, nom court, distance (km), temps de référence (min), ordre d’affichage</w:t>
      </w:r>
    </w:p>
    <w:p>
      <w:pPr>
        <w:pStyle w:val="ListParagraph"/>
        <w:numPr>
          <w:ilvl w:val="0"/>
          <w:numId w:val="3"/>
        </w:numPr>
        <w:spacing w:after="100"/>
      </w:pPr>
      <w:r>
        <w:rPr>
          <w:rFonts w:ascii="Arial" w:cs="Arial" w:eastAsia="Arial" w:hAnsi="Arial"/>
          <w:color w:val="2C3E50"/>
          <w:sz w:val="20"/>
          <w:szCs w:val="20"/>
        </w:rPr>
        <w:t xml:space="preserve">Activer l’option « Bidirectionnel » si l’axe doit être surveillé dans les deux sens</w:t>
      </w:r>
    </w:p>
    <w:p>
      <w:pPr>
        <w:pStyle w:val="ListParagraph"/>
        <w:numPr>
          <w:ilvl w:val="0"/>
          <w:numId w:val="3"/>
        </w:numPr>
        <w:spacing w:after="100"/>
      </w:pPr>
      <w:r>
        <w:rPr>
          <w:rFonts w:ascii="Arial" w:cs="Arial" w:eastAsia="Arial" w:hAnsi="Arial"/>
          <w:color w:val="2C3E50"/>
          <w:sz w:val="20"/>
          <w:szCs w:val="20"/>
        </w:rPr>
        <w:t xml:space="preserve">Saisir les coordonnées (latitude, longitude) des points de l’itinéraire dans l’éditeur de coordonnées</w:t>
      </w:r>
    </w:p>
    <w:p>
      <w:pPr>
        <w:pStyle w:val="ListParagraph"/>
        <w:numPr>
          <w:ilvl w:val="0"/>
          <w:numId w:val="3"/>
        </w:numPr>
        <w:spacing w:after="100"/>
      </w:pPr>
      <w:r>
        <w:rPr>
          <w:rFonts w:ascii="Arial" w:cs="Arial" w:eastAsia="Arial" w:hAnsi="Arial"/>
          <w:color w:val="2C3E50"/>
          <w:sz w:val="20"/>
          <w:szCs w:val="20"/>
        </w:rPr>
        <w:t xml:space="preserve">Cliquer sur « Calculer la route » pour récupérer le traçé via TomTom ou OSRM</w:t>
      </w:r>
    </w:p>
    <w:p>
      <w:pPr>
        <w:pStyle w:val="ListParagraph"/>
        <w:numPr>
          <w:ilvl w:val="0"/>
          <w:numId w:val="3"/>
        </w:numPr>
        <w:spacing w:after="100"/>
      </w:pPr>
      <w:r>
        <w:rPr>
          <w:rFonts w:ascii="Arial" w:cs="Arial" w:eastAsia="Arial" w:hAnsi="Arial"/>
          <w:color w:val="2C3E50"/>
          <w:sz w:val="20"/>
          <w:szCs w:val="20"/>
        </w:rPr>
        <w:t xml:space="preserve">Cliquer sur « Enregistrer »</w:t>
      </w:r>
    </w:p>
    <w:p>
      <w:pPr>
        <w:spacing w:after="160"/>
      </w:pPr>
    </w:p>
    <w:p>
      <w:pPr>
        <w:pStyle w:val="Heading3"/>
        <w:spacing w:after="120" w:before="200"/>
      </w:pPr>
      <w:r>
        <w:rPr>
          <w:rFonts w:ascii="Arial" w:cs="Arial" w:eastAsia="Arial" w:hAnsi="Arial"/>
          <w:b/>
          <w:bCs/>
          <w:color w:val="2C3E50"/>
          <w:sz w:val="22"/>
          <w:szCs w:val="22"/>
        </w:rPr>
        <w:t xml:space="preserve">Modifier un axe :</w:t>
      </w:r>
    </w:p>
    <w:p>
      <w:pPr>
        <w:pStyle w:val="ListParagraph"/>
        <w:numPr>
          <w:ilvl w:val="0"/>
          <w:numId w:val="3"/>
        </w:numPr>
        <w:spacing w:after="100"/>
      </w:pPr>
      <w:r>
        <w:rPr>
          <w:rFonts w:ascii="Arial" w:cs="Arial" w:eastAsia="Arial" w:hAnsi="Arial"/>
          <w:color w:val="2C3E50"/>
          <w:sz w:val="20"/>
          <w:szCs w:val="20"/>
        </w:rPr>
        <w:t xml:space="preserve">Cliquer sur l’icône ✏ (crayon) à côté de l’axe concerné</w:t>
      </w:r>
    </w:p>
    <w:p>
      <w:pPr>
        <w:pStyle w:val="ListParagraph"/>
        <w:numPr>
          <w:ilvl w:val="0"/>
          <w:numId w:val="3"/>
        </w:numPr>
        <w:spacing w:after="100"/>
      </w:pPr>
      <w:r>
        <w:rPr>
          <w:rFonts w:ascii="Arial" w:cs="Arial" w:eastAsia="Arial" w:hAnsi="Arial"/>
          <w:color w:val="2C3E50"/>
          <w:sz w:val="20"/>
          <w:szCs w:val="20"/>
        </w:rPr>
        <w:t xml:space="preserve">Modifier les champs souhaités (nom, distance, coordonnées, tRef, ordre...)</w:t>
      </w:r>
    </w:p>
    <w:p>
      <w:pPr>
        <w:pStyle w:val="ListParagraph"/>
        <w:numPr>
          <w:ilvl w:val="0"/>
          <w:numId w:val="3"/>
        </w:numPr>
        <w:spacing w:after="100"/>
      </w:pPr>
      <w:r>
        <w:rPr>
          <w:rFonts w:ascii="Arial" w:cs="Arial" w:eastAsia="Arial" w:hAnsi="Arial"/>
          <w:color w:val="2C3E50"/>
          <w:sz w:val="20"/>
          <w:szCs w:val="20"/>
        </w:rPr>
        <w:t xml:space="preserve">Recalculer la route si les coordonnées ont changé</w:t>
      </w:r>
    </w:p>
    <w:p>
      <w:pPr>
        <w:pStyle w:val="ListParagraph"/>
        <w:numPr>
          <w:ilvl w:val="0"/>
          <w:numId w:val="3"/>
        </w:numPr>
        <w:spacing w:after="100"/>
      </w:pPr>
      <w:r>
        <w:rPr>
          <w:rFonts w:ascii="Arial" w:cs="Arial" w:eastAsia="Arial" w:hAnsi="Arial"/>
          <w:color w:val="2C3E50"/>
          <w:sz w:val="20"/>
          <w:szCs w:val="20"/>
        </w:rPr>
        <w:t xml:space="preserve">Cliquer sur « Enregistrer »</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1B4F8A" w:sz="12"/>
              <w:bottom w:val="single" w:color="CCCCCC" w:sz="1"/>
              <w:right w:val="single" w:color="CCCCCC" w:sz="1"/>
            </w:tcBorders>
            <w:shd w:fill="EBF5FB" w:val="clear"/>
            <w:tcMar>
              <w:top w:type="dxa" w:w="120"/>
              <w:left w:type="dxa" w:w="200"/>
              <w:bottom w:type="dxa" w:w="120"/>
              <w:right w:type="dxa" w:w="150"/>
            </w:tcMar>
          </w:tcPr>
          <w:p>
            <w:pPr>
              <w:spacing w:after="80"/>
            </w:pPr>
            <w:r>
              <w:rPr>
                <w:rFonts w:ascii="Arial" w:cs="Arial" w:eastAsia="Arial" w:hAnsi="Arial"/>
                <w:b/>
                <w:bCs/>
                <w:color w:val="1B4F8A"/>
                <w:sz w:val="20"/>
                <w:szCs w:val="20"/>
              </w:rPr>
              <w:t xml:space="preserve">Important</w:t>
            </w:r>
          </w:p>
          <w:p>
            <w:pPr>
              <w:spacing w:after="0"/>
            </w:pPr>
            <w:r>
              <w:rPr>
                <w:rFonts w:ascii="Arial" w:cs="Arial" w:eastAsia="Arial" w:hAnsi="Arial"/>
                <w:color w:val="2C3E50"/>
                <w:sz w:val="20"/>
                <w:szCs w:val="20"/>
              </w:rPr>
              <w:t xml:space="preserve">Si le calcul de route via TomTom échoue, la géométrie précédemment enregistrée est conservée. Ne pas fermer la fenêtre sans vérifier que la route est correctement tracée sur la prévisualisation de carte.</w:t>
            </w:r>
          </w:p>
        </w:tc>
      </w:tr>
    </w:tbl>
    <w:p>
      <w:pPr>
        <w:spacing w:after="160"/>
      </w:pPr>
    </w:p>
    <w:p>
      <w:pPr>
        <w:pStyle w:val="Heading3"/>
        <w:spacing w:after="120" w:before="200"/>
      </w:pPr>
      <w:r>
        <w:rPr>
          <w:rFonts w:ascii="Arial" w:cs="Arial" w:eastAsia="Arial" w:hAnsi="Arial"/>
          <w:b/>
          <w:bCs/>
          <w:color w:val="2C3E50"/>
          <w:sz w:val="22"/>
          <w:szCs w:val="22"/>
        </w:rPr>
        <w:t xml:space="preserve">Désactiver / Activer un axe :</w:t>
      </w:r>
    </w:p>
    <w:p>
      <w:pPr>
        <w:spacing w:after="160" w:line="280"/>
        <w:jc w:val="left"/>
      </w:pPr>
      <w:r>
        <w:rPr>
          <w:rFonts w:ascii="Arial" w:cs="Arial" w:eastAsia="Arial" w:hAnsi="Arial"/>
          <w:b w:val="false"/>
          <w:bCs w:val="false"/>
          <w:i w:val="false"/>
          <w:iCs w:val="false"/>
          <w:color w:val="2C3E50"/>
          <w:sz w:val="22"/>
          <w:szCs w:val="22"/>
        </w:rPr>
        <w:t xml:space="preserve">Le bouton bascule (toggle) à côté d’un axe permet de le désactiver sans le supprimer. Un axe désactivé n’apparaît plus sur le dashboard public mais ses données historiques sont conservées.</w:t>
      </w:r>
    </w:p>
    <w:p>
      <w:pPr>
        <w:pStyle w:val="Heading2"/>
        <w:spacing w:after="160" w:before="280"/>
      </w:pPr>
      <w:r>
        <w:rPr>
          <w:rFonts w:ascii="Arial" w:cs="Arial" w:eastAsia="Arial" w:hAnsi="Arial"/>
          <w:b/>
          <w:bCs/>
          <w:color w:val="2874A6"/>
          <w:sz w:val="26"/>
          <w:szCs w:val="26"/>
        </w:rPr>
        <w:t xml:space="preserve">5.2 Gestion des tronçons</w:t>
      </w:r>
    </w:p>
    <w:p>
      <w:pPr>
        <w:spacing w:after="160" w:line="280"/>
        <w:jc w:val="left"/>
      </w:pPr>
      <w:r>
        <w:rPr>
          <w:rFonts w:ascii="Arial" w:cs="Arial" w:eastAsia="Arial" w:hAnsi="Arial"/>
          <w:b w:val="false"/>
          <w:bCs w:val="false"/>
          <w:i w:val="false"/>
          <w:iCs w:val="false"/>
          <w:color w:val="2C3E50"/>
          <w:sz w:val="22"/>
          <w:szCs w:val="22"/>
        </w:rPr>
        <w:t xml:space="preserve">Les tronçons sont des sous-segments d’un axe permettant une localisation fine de la congestion. Chaque tronçon a ses propres coordonnées et peut être coloré individuellement sur la carte.</w:t>
      </w:r>
    </w:p>
    <w:p>
      <w:pPr>
        <w:pStyle w:val="ListParagraph"/>
        <w:numPr>
          <w:ilvl w:val="0"/>
          <w:numId w:val="2"/>
        </w:numPr>
        <w:spacing w:after="100"/>
      </w:pPr>
      <w:r>
        <w:rPr>
          <w:rFonts w:ascii="Arial" w:cs="Arial" w:eastAsia="Arial" w:hAnsi="Arial"/>
          <w:color w:val="2C3E50"/>
          <w:sz w:val="20"/>
          <w:szCs w:val="20"/>
        </w:rPr>
        <w:t xml:space="preserve">Cliquer sur l’axe parent → section « Tronçons » en bas du panneau</w:t>
      </w:r>
    </w:p>
    <w:p>
      <w:pPr>
        <w:pStyle w:val="ListParagraph"/>
        <w:numPr>
          <w:ilvl w:val="0"/>
          <w:numId w:val="2"/>
        </w:numPr>
        <w:spacing w:after="100"/>
      </w:pPr>
      <w:r>
        <w:rPr>
          <w:rFonts w:ascii="Arial" w:cs="Arial" w:eastAsia="Arial" w:hAnsi="Arial"/>
          <w:color w:val="2C3E50"/>
          <w:sz w:val="20"/>
          <w:szCs w:val="20"/>
        </w:rPr>
        <w:t xml:space="preserve">Cliquer sur « + Ajouter un tronçon »</w:t>
      </w:r>
    </w:p>
    <w:p>
      <w:pPr>
        <w:pStyle w:val="ListParagraph"/>
        <w:numPr>
          <w:ilvl w:val="0"/>
          <w:numId w:val="2"/>
        </w:numPr>
        <w:spacing w:after="100"/>
      </w:pPr>
      <w:r>
        <w:rPr>
          <w:rFonts w:ascii="Arial" w:cs="Arial" w:eastAsia="Arial" w:hAnsi="Arial"/>
          <w:color w:val="2C3E50"/>
          <w:sz w:val="20"/>
          <w:szCs w:val="20"/>
        </w:rPr>
        <w:t xml:space="preserve">Remplir : nom, code court (ex. T1A), distance du tronçon en km, coordonnées</w:t>
      </w:r>
    </w:p>
    <w:p>
      <w:pPr>
        <w:pStyle w:val="ListParagraph"/>
        <w:numPr>
          <w:ilvl w:val="0"/>
          <w:numId w:val="2"/>
        </w:numPr>
        <w:spacing w:after="100"/>
      </w:pPr>
      <w:r>
        <w:rPr>
          <w:rFonts w:ascii="Arial" w:cs="Arial" w:eastAsia="Arial" w:hAnsi="Arial"/>
          <w:color w:val="2C3E50"/>
          <w:sz w:val="20"/>
          <w:szCs w:val="20"/>
        </w:rPr>
        <w:t xml:space="preserve">Définir l’ordre d’affichage (numéro de séquence)</w:t>
      </w:r>
    </w:p>
    <w:p>
      <w:pPr>
        <w:pStyle w:val="ListParagraph"/>
        <w:numPr>
          <w:ilvl w:val="0"/>
          <w:numId w:val="2"/>
        </w:numPr>
        <w:spacing w:after="100"/>
      </w:pPr>
      <w:r>
        <w:rPr>
          <w:rFonts w:ascii="Arial" w:cs="Arial" w:eastAsia="Arial" w:hAnsi="Arial"/>
          <w:color w:val="2C3E50"/>
          <w:sz w:val="20"/>
          <w:szCs w:val="20"/>
        </w:rPr>
        <w:t xml:space="preserve">Enregistrer</w:t>
      </w:r>
    </w:p>
    <w:p>
      <w:pPr>
        <w:pStyle w:val="Heading2"/>
        <w:spacing w:after="160" w:before="280"/>
      </w:pPr>
      <w:r>
        <w:rPr>
          <w:rFonts w:ascii="Arial" w:cs="Arial" w:eastAsia="Arial" w:hAnsi="Arial"/>
          <w:b/>
          <w:bCs/>
          <w:color w:val="2874A6"/>
          <w:sz w:val="26"/>
          <w:szCs w:val="26"/>
        </w:rPr>
        <w:t xml:space="preserve">5.3 Configuration des seuils d’alerte</w:t>
      </w:r>
    </w:p>
    <w:p>
      <w:pPr>
        <w:spacing w:after="160" w:line="280"/>
        <w:jc w:val="left"/>
      </w:pPr>
      <w:r>
        <w:rPr>
          <w:rFonts w:ascii="Arial" w:cs="Arial" w:eastAsia="Arial" w:hAnsi="Arial"/>
          <w:b w:val="false"/>
          <w:bCs w:val="false"/>
          <w:i w:val="false"/>
          <w:iCs w:val="false"/>
          <w:color w:val="2C3E50"/>
          <w:sz w:val="22"/>
          <w:szCs w:val="22"/>
        </w:rPr>
        <w:t xml:space="preserve">Les seuils définissent les niveaux à partir desquels une alerte est générée. Ils sont configurables par axe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26"/>
      </w:tblGrid>
      <w:tr>
        <w:tc>
          <w:tcPr>
            <w:tcW w:type="dxa" w:w="25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Seuil</w:t>
            </w:r>
          </w:p>
        </w:tc>
        <w:tc>
          <w:tcPr>
            <w:tcW w:type="dxa" w:w="4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Effet</w:t>
            </w:r>
          </w:p>
        </w:tc>
        <w:tc>
          <w:tcPr>
            <w:tcW w:type="dxa" w:w="25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Valeur par défaut</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Seuil orange (N3–N4)</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apparaît en orange sur la carte + alerte dans le panneau</w:t>
            </w:r>
          </w:p>
        </w:tc>
        <w:tc>
          <w:tcPr>
            <w:tcW w:type="dxa" w:w="25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ratio ≥ 1,25 (configurable)</w:t>
            </w:r>
          </w:p>
        </w:tc>
      </w:tr>
      <w:tr>
        <w:tc>
          <w:tcPr>
            <w:tcW w:type="dxa" w:w="25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Seuil rouge (N5)</w:t>
            </w:r>
          </w:p>
        </w:tc>
        <w:tc>
          <w:tcPr>
            <w:tcW w:type="dxa" w:w="4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 apparaît en rouge, alerte prioritaire</w:t>
            </w:r>
          </w:p>
        </w:tc>
        <w:tc>
          <w:tcPr>
            <w:tcW w:type="dxa" w:w="25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ratio ≥ 2,00 (configurable)</w:t>
            </w:r>
          </w:p>
        </w:tc>
      </w:tr>
    </w:tbl>
    <w:p>
      <w:pPr>
        <w:spacing w:after="160"/>
      </w:pPr>
    </w:p>
    <w:p>
      <w:pPr>
        <w:spacing w:after="160" w:line="280"/>
        <w:jc w:val="left"/>
      </w:pPr>
      <w:r>
        <w:rPr>
          <w:rFonts w:ascii="Arial" w:cs="Arial" w:eastAsia="Arial" w:hAnsi="Arial"/>
          <w:b w:val="false"/>
          <w:bCs w:val="false"/>
          <w:i w:val="false"/>
          <w:iCs w:val="false"/>
          <w:color w:val="2C3E50"/>
          <w:sz w:val="22"/>
          <w:szCs w:val="22"/>
        </w:rPr>
        <w:t xml:space="preserve">Pour modifier les seuils : Admin → section « Seuils » → modifier les valeurs orange et rouge pour l’axe concerné → Enregistrer.</w:t>
      </w:r>
    </w:p>
    <w:p>
      <w:pPr>
        <w:pStyle w:val="Heading2"/>
        <w:spacing w:after="160" w:before="280"/>
      </w:pPr>
      <w:r>
        <w:rPr>
          <w:rFonts w:ascii="Arial" w:cs="Arial" w:eastAsia="Arial" w:hAnsi="Arial"/>
          <w:b/>
          <w:bCs/>
          <w:color w:val="2874A6"/>
          <w:sz w:val="26"/>
          <w:szCs w:val="26"/>
        </w:rPr>
        <w:t xml:space="preserve">5.4 Gestion des utilisateurs</w:t>
      </w:r>
    </w:p>
    <w:p>
      <w:pPr>
        <w:spacing w:after="160" w:line="280"/>
        <w:jc w:val="left"/>
      </w:pPr>
      <w:r>
        <w:rPr>
          <w:rFonts w:ascii="Arial" w:cs="Arial" w:eastAsia="Arial" w:hAnsi="Arial"/>
          <w:b w:val="false"/>
          <w:bCs w:val="false"/>
          <w:i w:val="false"/>
          <w:iCs w:val="false"/>
          <w:color w:val="2C3E50"/>
          <w:sz w:val="22"/>
          <w:szCs w:val="22"/>
        </w:rPr>
        <w:t xml:space="preserve">La section « Utilisateurs » liste tous les comptes enregistrés dans Firebase Auth.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Action</w:t>
            </w:r>
          </w:p>
        </w:tc>
        <w:tc>
          <w:tcPr>
            <w:tcW w:type="dxa" w:w="60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Procédure</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Créer un compte</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Cliquer sur « + Créer un utilisateur » → remplir email, mot de passe, rôle (admin / public)</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Modifier le rôle</w:t>
            </w:r>
          </w:p>
        </w:tc>
        <w:tc>
          <w:tcPr>
            <w:tcW w:type="dxa" w:w="6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Cliquer sur ✏ à côté du compte → changer le rôle → Enregistrer</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Réinitialiser le mot de passe</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Cliquer sur l’icône email → un lien de réinitialisation est envoyé automatiquement</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Désactiver un compte</w:t>
            </w:r>
          </w:p>
        </w:tc>
        <w:tc>
          <w:tcPr>
            <w:tcW w:type="dxa" w:w="60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Basculer l’état « actif » sur inactif → l’utilisateur ne peut plus se connecter</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Supprimer un compte</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Cliquer sur l’icône corbeille → confirmer la suppression</w:t>
            </w:r>
          </w:p>
        </w:tc>
      </w:tr>
    </w:tbl>
    <w:p>
      <w:pPr>
        <w:spacing w:after="160"/>
      </w:pPr>
    </w:p>
    <w:p>
      <w:pPr>
        <w:pStyle w:val="Heading2"/>
        <w:spacing w:after="160" w:before="280"/>
      </w:pPr>
      <w:r>
        <w:rPr>
          <w:rFonts w:ascii="Arial" w:cs="Arial" w:eastAsia="Arial" w:hAnsi="Arial"/>
          <w:b/>
          <w:bCs/>
          <w:color w:val="2874A6"/>
          <w:sz w:val="26"/>
          <w:szCs w:val="26"/>
        </w:rPr>
        <w:t xml:space="preserve">5.5 Export de données (ExportPage)</w:t>
      </w:r>
    </w:p>
    <w:p>
      <w:pPr>
        <w:spacing w:after="160" w:line="280"/>
        <w:jc w:val="left"/>
      </w:pPr>
      <w:r>
        <w:rPr>
          <w:rFonts w:ascii="Arial" w:cs="Arial" w:eastAsia="Arial" w:hAnsi="Arial"/>
          <w:b w:val="false"/>
          <w:bCs w:val="false"/>
          <w:i w:val="false"/>
          <w:iCs w:val="false"/>
          <w:color w:val="2C3E50"/>
          <w:sz w:val="22"/>
          <w:szCs w:val="22"/>
        </w:rPr>
        <w:t xml:space="preserve">La page Export permet de télécharger les données de trafic :</w:t>
      </w:r>
    </w:p>
    <w:p>
      <w:pPr>
        <w:pStyle w:val="ListParagraph"/>
        <w:numPr>
          <w:ilvl w:val="0"/>
          <w:numId w:val="2"/>
        </w:numPr>
        <w:spacing w:after="100"/>
      </w:pPr>
      <w:r>
        <w:rPr>
          <w:rFonts w:ascii="Arial" w:cs="Arial" w:eastAsia="Arial" w:hAnsi="Arial"/>
          <w:color w:val="2C3E50"/>
          <w:sz w:val="20"/>
          <w:szCs w:val="20"/>
        </w:rPr>
        <w:t xml:space="preserve">Snapshot mesures_live : export instantané de toutes les mesures actuelles (CSV ou Excel)</w:t>
      </w:r>
    </w:p>
    <w:p>
      <w:pPr>
        <w:pStyle w:val="ListParagraph"/>
        <w:numPr>
          <w:ilvl w:val="0"/>
          <w:numId w:val="2"/>
        </w:numPr>
        <w:spacing w:after="100"/>
      </w:pPr>
      <w:r>
        <w:rPr>
          <w:rFonts w:ascii="Arial" w:cs="Arial" w:eastAsia="Arial" w:hAnsi="Arial"/>
          <w:color w:val="2C3E50"/>
          <w:sz w:val="20"/>
          <w:szCs w:val="20"/>
        </w:rPr>
        <w:t xml:space="preserve">Données historiques : sélection de la période → téléchargement des données de collecte_auto</w:t>
      </w:r>
    </w:p>
    <w:p>
      <w:pPr>
        <w:pStyle w:val="ListParagraph"/>
        <w:numPr>
          <w:ilvl w:val="0"/>
          <w:numId w:val="2"/>
        </w:numPr>
        <w:spacing w:after="100"/>
      </w:pPr>
      <w:r>
        <w:rPr>
          <w:rFonts w:ascii="Arial" w:cs="Arial" w:eastAsia="Arial" w:hAnsi="Arial"/>
          <w:color w:val="2C3E50"/>
          <w:sz w:val="20"/>
          <w:szCs w:val="20"/>
        </w:rPr>
        <w:t xml:space="preserve">Format CSV : compatible avec Excel, LibreOffice Calc, Python, R</w:t>
      </w:r>
    </w:p>
    <w:p>
      <w:pPr>
        <w:pStyle w:val="ListParagraph"/>
        <w:numPr>
          <w:ilvl w:val="0"/>
          <w:numId w:val="2"/>
        </w:numPr>
        <w:spacing w:after="100"/>
      </w:pPr>
      <w:r>
        <w:rPr>
          <w:rFonts w:ascii="Arial" w:cs="Arial" w:eastAsia="Arial" w:hAnsi="Arial"/>
          <w:color w:val="2C3E50"/>
          <w:sz w:val="20"/>
          <w:szCs w:val="20"/>
        </w:rPr>
        <w:t xml:space="preserve">Format Excel (.xlsx) : mise en forme tableau prête à l’emploi</w:t>
      </w:r>
    </w:p>
    <w:p>
      <w:pPr>
        <w:spacing w:after="160"/>
      </w:pPr>
    </w:p>
    <w:p>
      <w:pPr>
        <w:spacing w:after="160" w:line="280"/>
        <w:jc w:val="left"/>
      </w:pPr>
      <w:r>
        <w:rPr>
          <w:rFonts w:ascii="Arial" w:cs="Arial" w:eastAsia="Arial" w:hAnsi="Arial"/>
          <w:b w:val="false"/>
          <w:bCs w:val="false"/>
          <w:i w:val="false"/>
          <w:iCs w:val="false"/>
          <w:color w:val="2C3E50"/>
          <w:sz w:val="22"/>
          <w:szCs w:val="22"/>
        </w:rPr>
        <w:t xml:space="preserve">Pour générer un rapport (RapportsPage) :</w:t>
      </w:r>
    </w:p>
    <w:p>
      <w:pPr>
        <w:pStyle w:val="ListParagraph"/>
        <w:numPr>
          <w:ilvl w:val="0"/>
          <w:numId w:val="3"/>
        </w:numPr>
        <w:spacing w:after="100"/>
      </w:pPr>
      <w:r>
        <w:rPr>
          <w:rFonts w:ascii="Arial" w:cs="Arial" w:eastAsia="Arial" w:hAnsi="Arial"/>
          <w:color w:val="2C3E50"/>
          <w:sz w:val="20"/>
          <w:szCs w:val="20"/>
        </w:rPr>
        <w:t xml:space="preserve">Sélectionner le type de rapport : quotidien, hebdomadaire ou mensuel</w:t>
      </w:r>
    </w:p>
    <w:p>
      <w:pPr>
        <w:pStyle w:val="ListParagraph"/>
        <w:numPr>
          <w:ilvl w:val="0"/>
          <w:numId w:val="3"/>
        </w:numPr>
        <w:spacing w:after="100"/>
      </w:pPr>
      <w:r>
        <w:rPr>
          <w:rFonts w:ascii="Arial" w:cs="Arial" w:eastAsia="Arial" w:hAnsi="Arial"/>
          <w:color w:val="2C3E50"/>
          <w:sz w:val="20"/>
          <w:szCs w:val="20"/>
        </w:rPr>
        <w:t xml:space="preserve">Choisir la date ou la période concernée</w:t>
      </w:r>
    </w:p>
    <w:p>
      <w:pPr>
        <w:pStyle w:val="ListParagraph"/>
        <w:numPr>
          <w:ilvl w:val="0"/>
          <w:numId w:val="3"/>
        </w:numPr>
        <w:spacing w:after="100"/>
      </w:pPr>
      <w:r>
        <w:rPr>
          <w:rFonts w:ascii="Arial" w:cs="Arial" w:eastAsia="Arial" w:hAnsi="Arial"/>
          <w:color w:val="2C3E50"/>
          <w:sz w:val="20"/>
          <w:szCs w:val="20"/>
        </w:rPr>
        <w:t xml:space="preserve">Cliquer sur « Générer »</w:t>
      </w:r>
    </w:p>
    <w:p>
      <w:pPr>
        <w:pStyle w:val="ListParagraph"/>
        <w:numPr>
          <w:ilvl w:val="0"/>
          <w:numId w:val="3"/>
        </w:numPr>
        <w:spacing w:after="100"/>
      </w:pPr>
      <w:r>
        <w:rPr>
          <w:rFonts w:ascii="Arial" w:cs="Arial" w:eastAsia="Arial" w:hAnsi="Arial"/>
          <w:color w:val="2C3E50"/>
          <w:sz w:val="20"/>
          <w:szCs w:val="20"/>
        </w:rPr>
        <w:t xml:space="preserve">Télécharger au format PDF, Excel ou Word selon le bouton cliqué</w:t>
      </w:r>
    </w:p>
    <w:p>
      <w:pPr>
        <w:pStyle w:val="Heading2"/>
        <w:spacing w:after="160" w:before="280"/>
      </w:pPr>
      <w:r>
        <w:rPr>
          <w:rFonts w:ascii="Arial" w:cs="Arial" w:eastAsia="Arial" w:hAnsi="Arial"/>
          <w:b/>
          <w:bCs/>
          <w:color w:val="2874A6"/>
          <w:sz w:val="26"/>
          <w:szCs w:val="26"/>
        </w:rPr>
        <w:t xml:space="preserve">5.6 Lecture des prédictions ML (mode Prévisions ML)</w:t>
      </w:r>
    </w:p>
    <w:p>
      <w:pPr>
        <w:spacing w:after="160" w:line="280"/>
        <w:jc w:val="left"/>
      </w:pPr>
      <w:r>
        <w:rPr>
          <w:rFonts w:ascii="Arial" w:cs="Arial" w:eastAsia="Arial" w:hAnsi="Arial"/>
          <w:b w:val="false"/>
          <w:bCs w:val="false"/>
          <w:i w:val="false"/>
          <w:iCs w:val="false"/>
          <w:color w:val="2C3E50"/>
          <w:sz w:val="22"/>
          <w:szCs w:val="22"/>
        </w:rPr>
        <w:t xml:space="preserve">Sur la carte Dashboard, activer le bouton « Prévisions ML » (en haut au centre de la carte) pour basculer en mode prédictif.</w:t>
      </w:r>
    </w:p>
    <w:p>
      <w:pPr>
        <w:pStyle w:val="ListParagraph"/>
        <w:numPr>
          <w:ilvl w:val="0"/>
          <w:numId w:val="2"/>
        </w:numPr>
        <w:spacing w:after="100"/>
      </w:pPr>
      <w:r>
        <w:rPr>
          <w:rFonts w:ascii="Arial" w:cs="Arial" w:eastAsia="Arial" w:hAnsi="Arial"/>
          <w:color w:val="2C3E50"/>
          <w:sz w:val="20"/>
          <w:szCs w:val="20"/>
        </w:rPr>
        <w:t xml:space="preserve">La carte affiche les niveaux de congestion prévus par le modèle Random Forest pour l’heure actuelle</w:t>
      </w:r>
    </w:p>
    <w:p>
      <w:pPr>
        <w:pStyle w:val="ListParagraph"/>
        <w:numPr>
          <w:ilvl w:val="0"/>
          <w:numId w:val="2"/>
        </w:numPr>
        <w:spacing w:after="100"/>
      </w:pPr>
      <w:r>
        <w:rPr>
          <w:rFonts w:ascii="Arial" w:cs="Arial" w:eastAsia="Arial" w:hAnsi="Arial"/>
          <w:color w:val="2C3E50"/>
          <w:sz w:val="20"/>
          <w:szCs w:val="20"/>
        </w:rPr>
        <w:t xml:space="preserve">Le panneau latéral affiche les créneaux à risque identifiés par le modèle</w:t>
      </w:r>
    </w:p>
    <w:p>
      <w:pPr>
        <w:pStyle w:val="ListParagraph"/>
        <w:numPr>
          <w:ilvl w:val="0"/>
          <w:numId w:val="2"/>
        </w:numPr>
        <w:spacing w:after="100"/>
      </w:pPr>
      <w:r>
        <w:rPr>
          <w:rFonts w:ascii="Arial" w:cs="Arial" w:eastAsia="Arial" w:hAnsi="Arial"/>
          <w:color w:val="2C3E50"/>
          <w:sz w:val="20"/>
          <w:szCs w:val="20"/>
        </w:rPr>
        <w:t xml:space="preserve">Pour chaque axe : niveau prévu (N1–N5), confiance en pourcentage, temps de trajet estimé</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1B4F8A" w:sz="12"/>
              <w:bottom w:val="single" w:color="CCCCCC" w:sz="1"/>
              <w:right w:val="single" w:color="CCCCCC" w:sz="1"/>
            </w:tcBorders>
            <w:shd w:fill="EBF5FB" w:val="clear"/>
            <w:tcMar>
              <w:top w:type="dxa" w:w="120"/>
              <w:left w:type="dxa" w:w="200"/>
              <w:bottom w:type="dxa" w:w="120"/>
              <w:right w:type="dxa" w:w="150"/>
            </w:tcMar>
          </w:tcPr>
          <w:p>
            <w:pPr>
              <w:spacing w:after="80"/>
            </w:pPr>
            <w:r>
              <w:rPr>
                <w:rFonts w:ascii="Arial" w:cs="Arial" w:eastAsia="Arial" w:hAnsi="Arial"/>
                <w:b/>
                <w:bCs/>
                <w:color w:val="1B4F8A"/>
                <w:sz w:val="20"/>
                <w:szCs w:val="20"/>
              </w:rPr>
              <w:t xml:space="preserve">Limite du modèle</w:t>
            </w:r>
          </w:p>
          <w:p>
            <w:pPr>
              <w:spacing w:after="0"/>
            </w:pPr>
            <w:r>
              <w:rPr>
                <w:rFonts w:ascii="Arial" w:cs="Arial" w:eastAsia="Arial" w:hAnsi="Arial"/>
                <w:color w:val="2C3E50"/>
                <w:sz w:val="20"/>
                <w:szCs w:val="20"/>
              </w:rPr>
              <w:t xml:space="preserve">Les prédictions sont calculées sur des données historiques de février 2025 (79 % de précision). Elles reflètent les tendances habituelles mais ne tiennent pas compte des événements exceptionnels (grèves, accidents, fermetures ponctuelles).</w:t>
            </w:r>
          </w:p>
        </w:tc>
      </w:tr>
    </w:tbl>
    <w:p>
      <w:r>
        <w:br w:type="page"/>
      </w:r>
    </w:p>
    <w:p>
      <w:pPr>
        <w:pStyle w:val="Heading1"/>
        <w:spacing w:after="200" w:before="360"/>
      </w:pPr>
      <w:r>
        <w:rPr>
          <w:rFonts w:ascii="Arial" w:cs="Arial" w:eastAsia="Arial" w:hAnsi="Arial"/>
          <w:b/>
          <w:bCs/>
          <w:color w:val="1B4F8A"/>
          <w:sz w:val="32"/>
          <w:szCs w:val="32"/>
        </w:rPr>
        <w:t xml:space="preserve">6. Questions fréquentes (FAQ)</w:t>
      </w:r>
    </w:p>
    <w:p>
      <w:pPr>
        <w:pBdr>
          <w:bottom w:val="single" w:color="1B4F8A" w:sz="4" w:space="1"/>
        </w:pBdr>
        <w:spacing w:after="240"/>
      </w:pPr>
    </w:p>
    <w:p>
      <w:pPr>
        <w:pStyle w:val="Heading2"/>
        <w:spacing w:after="160" w:before="280"/>
      </w:pPr>
      <w:r>
        <w:rPr>
          <w:rFonts w:ascii="Arial" w:cs="Arial" w:eastAsia="Arial" w:hAnsi="Arial"/>
          <w:b/>
          <w:bCs/>
          <w:color w:val="2874A6"/>
          <w:sz w:val="26"/>
          <w:szCs w:val="26"/>
        </w:rPr>
        <w:t xml:space="preserve">Q : Les données sont-elles vraiment en temps réel ?</w:t>
      </w:r>
    </w:p>
    <w:p>
      <w:pPr>
        <w:spacing w:after="160" w:line="280"/>
        <w:jc w:val="left"/>
      </w:pPr>
      <w:r>
        <w:rPr>
          <w:rFonts w:ascii="Arial" w:cs="Arial" w:eastAsia="Arial" w:hAnsi="Arial"/>
          <w:b w:val="false"/>
          <w:bCs w:val="false"/>
          <w:i w:val="false"/>
          <w:iCs w:val="false"/>
          <w:color w:val="2C3E50"/>
          <w:sz w:val="22"/>
          <w:szCs w:val="22"/>
        </w:rPr>
        <w:t xml:space="preserve">Les données sont actualisées automatiquement toutes les 10 minutes via un système de collecte automatisé (GitHub Actions). Dans le navigateur, une tentative d’actualisation est faite toutes les 2 minutes si la clé TomTom est disponible dans le build. Le badge « LIVE » indique que le système fonctionne et le compteur indique le temps avant la prochaine actualisation.</w:t>
      </w:r>
    </w:p>
    <w:p>
      <w:pPr>
        <w:pStyle w:val="Heading2"/>
        <w:spacing w:after="160" w:before="280"/>
      </w:pPr>
      <w:r>
        <w:rPr>
          <w:rFonts w:ascii="Arial" w:cs="Arial" w:eastAsia="Arial" w:hAnsi="Arial"/>
          <w:b/>
          <w:bCs/>
          <w:color w:val="2874A6"/>
          <w:sz w:val="26"/>
          <w:szCs w:val="26"/>
        </w:rPr>
        <w:t xml:space="preserve">Q : Pourquoi certaines valeurs affichent « — » ?</w:t>
      </w:r>
    </w:p>
    <w:p>
      <w:pPr>
        <w:spacing w:after="160" w:line="280"/>
        <w:jc w:val="left"/>
      </w:pPr>
      <w:r>
        <w:rPr>
          <w:rFonts w:ascii="Arial" w:cs="Arial" w:eastAsia="Arial" w:hAnsi="Arial"/>
          <w:b w:val="false"/>
          <w:bCs w:val="false"/>
          <w:i w:val="false"/>
          <w:iCs w:val="false"/>
          <w:color w:val="2C3E50"/>
          <w:sz w:val="22"/>
          <w:szCs w:val="22"/>
        </w:rPr>
        <w:t xml:space="preserve">Un tiret indique qu’aucune donnée n’est disponible dans Firestore pour cet axe. Cela peut survenir au démarrage du système ou si le collecteur automatique n’a pas encore effectué de mesure depuis la dernière initialisation.</w:t>
      </w:r>
    </w:p>
    <w:p>
      <w:pPr>
        <w:pStyle w:val="Heading2"/>
        <w:spacing w:after="160" w:before="280"/>
      </w:pPr>
      <w:r>
        <w:rPr>
          <w:rFonts w:ascii="Arial" w:cs="Arial" w:eastAsia="Arial" w:hAnsi="Arial"/>
          <w:b/>
          <w:bCs/>
          <w:color w:val="2874A6"/>
          <w:sz w:val="26"/>
          <w:szCs w:val="26"/>
        </w:rPr>
        <w:t xml:space="preserve">Q : Les prévisions ML sont-elles fiables pour les jours fériés ?</w:t>
      </w:r>
    </w:p>
    <w:p>
      <w:pPr>
        <w:spacing w:after="160" w:line="280"/>
        <w:jc w:val="left"/>
      </w:pPr>
      <w:r>
        <w:rPr>
          <w:rFonts w:ascii="Arial" w:cs="Arial" w:eastAsia="Arial" w:hAnsi="Arial"/>
          <w:b w:val="false"/>
          <w:bCs w:val="false"/>
          <w:i w:val="false"/>
          <w:iCs w:val="false"/>
          <w:color w:val="2C3E50"/>
          <w:sz w:val="22"/>
          <w:szCs w:val="22"/>
        </w:rPr>
        <w:t xml:space="preserve">Non. Le modèle a été entraîné sur des données de semaine ordinaire (février 2025) et ne distingue pas les jours fériés des autres jours. Pour les événements exceptionnels, se fier aux données en temps réel plutôt qu’aux prévisions.</w:t>
      </w:r>
    </w:p>
    <w:p>
      <w:pPr>
        <w:pStyle w:val="Heading2"/>
        <w:spacing w:after="160" w:before="280"/>
      </w:pPr>
      <w:r>
        <w:rPr>
          <w:rFonts w:ascii="Arial" w:cs="Arial" w:eastAsia="Arial" w:hAnsi="Arial"/>
          <w:b/>
          <w:bCs/>
          <w:color w:val="2874A6"/>
          <w:sz w:val="26"/>
          <w:szCs w:val="26"/>
        </w:rPr>
        <w:t xml:space="preserve">Q : Comment ajouter un nouveau axe qui n’est pas encore dans le système ?</w:t>
      </w:r>
    </w:p>
    <w:p>
      <w:pPr>
        <w:spacing w:after="160" w:line="280"/>
        <w:jc w:val="left"/>
      </w:pPr>
      <w:r>
        <w:rPr>
          <w:rFonts w:ascii="Arial" w:cs="Arial" w:eastAsia="Arial" w:hAnsi="Arial"/>
          <w:b w:val="false"/>
          <w:bCs w:val="false"/>
          <w:i w:val="false"/>
          <w:iCs w:val="false"/>
          <w:color w:val="2C3E50"/>
          <w:sz w:val="22"/>
          <w:szCs w:val="22"/>
        </w:rPr>
        <w:t xml:space="preserve">Se connecter avec un compte administrateur → aller dans Admin → Axes → cliquer sur « + Ajouter un axe » → renseigner les coordonnées GPS de l’itinéraire → enregistrer. L’axe sera surveillé dès la prochaine collecte automatique (10 minutes maximum).</w:t>
      </w:r>
    </w:p>
    <w:p>
      <w:pPr>
        <w:pStyle w:val="Heading2"/>
        <w:spacing w:after="160" w:before="280"/>
      </w:pPr>
      <w:r>
        <w:rPr>
          <w:rFonts w:ascii="Arial" w:cs="Arial" w:eastAsia="Arial" w:hAnsi="Arial"/>
          <w:b/>
          <w:bCs/>
          <w:color w:val="2874A6"/>
          <w:sz w:val="26"/>
          <w:szCs w:val="26"/>
        </w:rPr>
        <w:t xml:space="preserve">Q : La carte est lente à charger, que faire ?</w:t>
      </w:r>
    </w:p>
    <w:p>
      <w:pPr>
        <w:spacing w:after="160" w:line="280"/>
        <w:jc w:val="left"/>
      </w:pPr>
      <w:r>
        <w:rPr>
          <w:rFonts w:ascii="Arial" w:cs="Arial" w:eastAsia="Arial" w:hAnsi="Arial"/>
          <w:b w:val="false"/>
          <w:bCs w:val="false"/>
          <w:i w:val="false"/>
          <w:iCs w:val="false"/>
          <w:color w:val="2C3E50"/>
          <w:sz w:val="22"/>
          <w:szCs w:val="22"/>
        </w:rPr>
        <w:t xml:space="preserve">La carte utilise OpenStreetMap qui peut être lent sur les connexions instables. Attendre quelques secondes. Si la carte reste blanche, vérifier la connexion internet et rafraîchir la page (F5).</w:t>
      </w:r>
    </w:p>
    <w:p>
      <w:pPr>
        <w:pStyle w:val="Heading2"/>
        <w:spacing w:after="160" w:before="280"/>
      </w:pPr>
      <w:r>
        <w:rPr>
          <w:rFonts w:ascii="Arial" w:cs="Arial" w:eastAsia="Arial" w:hAnsi="Arial"/>
          <w:b/>
          <w:bCs/>
          <w:color w:val="2874A6"/>
          <w:sz w:val="26"/>
          <w:szCs w:val="26"/>
        </w:rPr>
        <w:t xml:space="preserve">Q : L’assistant IA donne des réponses incorrectes sur le trafic actuel. Pourquoi ?</w:t>
      </w:r>
    </w:p>
    <w:p>
      <w:pPr>
        <w:spacing w:after="160" w:line="280"/>
        <w:jc w:val="left"/>
      </w:pPr>
      <w:r>
        <w:rPr>
          <w:rFonts w:ascii="Arial" w:cs="Arial" w:eastAsia="Arial" w:hAnsi="Arial"/>
          <w:b w:val="false"/>
          <w:bCs w:val="false"/>
          <w:i w:val="false"/>
          <w:iCs w:val="false"/>
          <w:color w:val="2C3E50"/>
          <w:sz w:val="22"/>
          <w:szCs w:val="22"/>
        </w:rPr>
        <w:t xml:space="preserve">L’assistant IA utilise les données qui lui sont transmises au moment de la question. Si les données de trafic sont en cours d’actualisation, les réponses peuvent refléter des valeurs légèrement décalées. Actualiser la page et reposer la question pour obtenir une réponse avec les données les plus fraîches.</w:t>
      </w:r>
    </w:p>
    <w:p>
      <w:pPr>
        <w:pStyle w:val="Heading2"/>
        <w:spacing w:after="160" w:before="280"/>
      </w:pPr>
      <w:r>
        <w:rPr>
          <w:rFonts w:ascii="Arial" w:cs="Arial" w:eastAsia="Arial" w:hAnsi="Arial"/>
          <w:b/>
          <w:bCs/>
          <w:color w:val="2874A6"/>
          <w:sz w:val="26"/>
          <w:szCs w:val="26"/>
        </w:rPr>
        <w:t xml:space="preserve">Q : Peut-on accéder à l’application depuis l’étranger ?</w:t>
      </w:r>
    </w:p>
    <w:p>
      <w:pPr>
        <w:spacing w:after="160" w:line="280"/>
        <w:jc w:val="left"/>
      </w:pPr>
      <w:r>
        <w:rPr>
          <w:rFonts w:ascii="Arial" w:cs="Arial" w:eastAsia="Arial" w:hAnsi="Arial"/>
          <w:b w:val="false"/>
          <w:bCs w:val="false"/>
          <w:i w:val="false"/>
          <w:iCs w:val="false"/>
          <w:color w:val="2C3E50"/>
          <w:sz w:val="22"/>
          <w:szCs w:val="22"/>
        </w:rPr>
        <w:t xml:space="preserve">Oui. L’application est hébergée sur Firebase Hosting (CDN mondial) et est accessible depuis n’importe quel pays avec un accès Internet. Les performances peuvent varier selon la qualité de la connexion.</w:t>
      </w:r>
    </w:p>
    <w:p>
      <w:r>
        <w:br w:type="page"/>
      </w:r>
    </w:p>
    <w:p>
      <w:pPr>
        <w:pStyle w:val="Heading1"/>
        <w:spacing w:after="200" w:before="360"/>
      </w:pPr>
      <w:r>
        <w:rPr>
          <w:rFonts w:ascii="Arial" w:cs="Arial" w:eastAsia="Arial" w:hAnsi="Arial"/>
          <w:b/>
          <w:bCs/>
          <w:color w:val="1B4F8A"/>
          <w:sz w:val="32"/>
          <w:szCs w:val="32"/>
        </w:rPr>
        <w:t xml:space="preserve">7. Glossaire des termes techniques</w:t>
      </w:r>
    </w:p>
    <w:p>
      <w:pPr>
        <w:pBdr>
          <w:bottom w:val="single" w:color="1B4F8A" w:sz="4" w:space="1"/>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Terme</w:t>
            </w:r>
          </w:p>
        </w:tc>
        <w:tc>
          <w:tcPr>
            <w:tcW w:type="dxa" w:w="6226"/>
            <w:tcBorders>
              <w:top w:val="single" w:color="CCCCCC" w:sz="1"/>
              <w:left w:val="single" w:color="CCCCCC" w:sz="1"/>
              <w:bottom w:val="single" w:color="CCCCCC" w:sz="1"/>
              <w:right w:val="single" w:color="CCCCCC" w:sz="1"/>
            </w:tcBorders>
            <w:shd w:fill="1B4F8A" w:val="clear"/>
            <w:tcMar>
              <w:top w:type="dxa" w:w="100"/>
              <w:left w:type="dxa" w:w="150"/>
              <w:bottom w:type="dxa" w:w="100"/>
              <w:right w:type="dxa" w:w="150"/>
            </w:tcMar>
          </w:tcPr>
          <w:p>
            <w:r>
              <w:rPr>
                <w:rFonts w:ascii="Arial" w:cs="Arial" w:eastAsia="Arial" w:hAnsi="Arial"/>
                <w:b/>
                <w:bCs/>
                <w:color w:val="FFFFFF"/>
                <w:sz w:val="19"/>
                <w:szCs w:val="19"/>
              </w:rPr>
              <w:t xml:space="preserve">Définition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Axe</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Itinéraire routier complet surveillé par PortFlow (ex. : CARENA = route de la Pharmacie Carena au PAA). Chaque axe est bidirectionnel : aller et retour.</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Tronçon</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Sous-segment d’un axe, délimité par deux points GPS. Permet une localisation plus fine de la congestion.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Trafic en temps réel</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Données de temps de trajet calculées par TomTom Routing ou Google Distance Matrix au moment de la mesure.</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Temps de référence (tRef)</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Temps de parcours en conditions normales (sans congestion), défini pour chaque axe. Sert de base de comparaison pour calculer le retard.</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Ratio de dégradation (I4)</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Rapport entre le temps de trajet actuel et le temps de référence. Ratio = 1,00 → conditions normales ; ratio = 1,50 → 50 % de retard.</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Niveau de congestion (I7)</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Classification de 1 à 5 calculée depuis le ratio. N1 = fluide, N5 = très congestionné.</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KPI</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Key Performance Indicator. Indicateur clé de performance. Dans PortFlow : temps moyen, retard moyen, vitesse, % axes dégradés.</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Firestore</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Base de données NoSQL de Google (Firebase), utilisée pour stocker les axes, mesures et données utilisateurs en temps réel.</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GitHub Actions</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Système d’automatisation CI/CD qui exécute le collecteur de trafic toutes les 10 minutes et déploie l’application sur Firebase Hosting.</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onSnapshot</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Mécanisme Firebase qui notifie l’interface en temps réel dès qu’une nouvelle donnée est écrite dans Firestore, sans rechargement de page.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Random Forest</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Algorithme d’apprentissage automatique (ML) basé sur un ensemble d’arbres de décision. Utilisé ici pour prédire le niveau de congestion.</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Gemini 2.5 Flash Lite</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Modèle de langage de Google (IA générative) utilisé pour l’assistant IA FlowPort.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OSRM</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Open Source Routing Machine. Service de calcul d’itinéraires open source, utilisé comme alternative à TomTom quand l’API est indisponible.</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Bidirectionnel</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Se dit d’un axe surveillé dans les deux sens de circulation (aller et retour). Tracé en trait plein (aller) et en pointillés (retour) sur la carte.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Sens aller / retour</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Aller = direction PAA-vers-ville. Retour = direction ville-vers-PAA.</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collecte_auto</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Collection Firestore archivant toutes les mesures automatiques depuis le démarrage du système. Base principale pour les graphiques analytiques.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mesures_live</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Collection Firestore contenant uniquement la dernière mesure par route. Mise à jour à chaque collecte automatique.</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Coordonnées GPS</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Paires [latitude, longitude] utilisées pour définir les itinéraires des axes et tronçons sur la carte.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Prévision ML</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Estimation du niveau de congestion futur calculée par le modèle Random Forest à partir des tendances historiques.</w:t>
            </w:r>
          </w:p>
        </w:tc>
      </w:tr>
      <w:tr>
        <w:tc>
          <w:tcPr>
            <w:tcW w:type="dxa" w:w="28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Confiance (%)</w:t>
            </w:r>
          </w:p>
        </w:tc>
        <w:tc>
          <w:tcPr>
            <w:tcW w:type="dxa" w:w="6226"/>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rFonts w:ascii="Arial" w:cs="Arial" w:eastAsia="Arial" w:hAnsi="Arial"/>
                <w:b w:val="false"/>
                <w:bCs w:val="false"/>
                <w:color w:val="2C3E50"/>
                <w:sz w:val="19"/>
                <w:szCs w:val="19"/>
              </w:rPr>
              <w:t xml:space="preserve">Pour chaque prévision ML : pourcentage indiquant la certitude du modèle. Un score de 80 % signifie que 80 % des arbres de la forêt ont voté pour ce niveau de congestion.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SPA</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2C3E50"/>
                <w:sz w:val="19"/>
                <w:szCs w:val="19"/>
              </w:rPr>
              <w:t xml:space="preserve">Single Page Application. L’application PortFlow est une SPA : la navigation entre sections ne recharge pas la page, ce qui la rend plus rapide.</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r>
      <w:rPr>
        <w:rFonts w:ascii="Arial" w:cs="Arial" w:eastAsia="Arial" w:hAnsi="Arial"/>
        <w:color w:val="7F8C8D"/>
        <w:sz w:val="18"/>
        <w:szCs w:val="18"/>
      </w:rPr>
      <w:t xml:space="preserve"> — Port Autonome d’Abidjan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8A" w:sz="2" w:space="1"/>
      </w:pBdr>
      <w:jc w:val="right"/>
    </w:pPr>
    <w:r>
      <w:rPr>
        <w:rFonts w:ascii="Arial" w:cs="Arial" w:eastAsia="Arial" w:hAnsi="Arial"/>
        <w:color w:val="7F8C8D"/>
        <w:sz w:val="18"/>
        <w:szCs w:val="18"/>
      </w:rPr>
      <w:t xml:space="preserve">PortFlow — Guide Utilisateur — STAT-HACK’26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8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874A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2026-06-30T12:12:44.675Z</dcterms:created>
  <dcterms:modified xsi:type="dcterms:W3CDTF">2026-06-30T12:12:44.676Z</dcterms:modified>
</cp:coreProperties>
</file>

<file path=docProps/custom.xml><?xml version="1.0" encoding="utf-8"?>
<Properties xmlns="http://schemas.openxmlformats.org/officeDocument/2006/custom-properties" xmlns:vt="http://schemas.openxmlformats.org/officeDocument/2006/docPropsVTypes"/>
</file>