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120"/>
        <w:jc w:val="center"/>
      </w:pPr>
      <w:r>
        <w:rPr>
          <w:rFonts w:ascii="Arial" w:cs="Arial" w:eastAsia="Arial" w:hAnsi="Arial"/>
          <w:b/>
          <w:bCs/>
          <w:color w:val="1B4F8A"/>
          <w:sz w:val="28"/>
          <w:szCs w:val="28"/>
        </w:rPr>
        <w:t xml:space="preserve">STAT-HACK’26</w:t>
      </w:r>
    </w:p>
    <w:p>
      <w:pPr>
        <w:spacing w:after="600"/>
        <w:jc w:val="center"/>
      </w:pPr>
      <w:r>
        <w:rPr>
          <w:rFonts w:ascii="Arial" w:cs="Arial" w:eastAsia="Arial" w:hAnsi="Arial"/>
          <w:i/>
          <w:iCs/>
          <w:color w:val="7F8C8D"/>
          <w:sz w:val="22"/>
          <w:szCs w:val="22"/>
        </w:rPr>
        <w:t xml:space="preserve">Hackathon Data &amp; Intelligence Artificielle</w:t>
      </w:r>
    </w:p>
    <w:p>
      <w:pPr>
        <w:pBdr>
          <w:bottom w:val="single" w:color="1B4F8A" w:sz="8" w:space="2"/>
        </w:pBdr>
        <w:spacing w:after="600"/>
        <w:jc w:val="center"/>
      </w:pPr>
    </w:p>
    <w:p>
      <w:pPr>
        <w:spacing w:after="200"/>
        <w:jc w:val="center"/>
      </w:pPr>
      <w:r>
        <w:rPr>
          <w:rFonts w:ascii="Arial" w:cs="Arial" w:eastAsia="Arial" w:hAnsi="Arial"/>
          <w:b/>
          <w:bCs/>
          <w:color w:val="1B4F8A"/>
          <w:sz w:val="72"/>
          <w:szCs w:val="72"/>
        </w:rPr>
        <w:t xml:space="preserve">PORTFLOW</w:t>
      </w:r>
    </w:p>
    <w:p>
      <w:pPr>
        <w:spacing w:after="600"/>
        <w:jc w:val="center"/>
      </w:pPr>
      <w:r>
        <w:rPr>
          <w:rFonts w:ascii="Arial" w:cs="Arial" w:eastAsia="Arial" w:hAnsi="Arial"/>
          <w:b/>
          <w:bCs/>
          <w:color w:val="2874A6"/>
          <w:sz w:val="32"/>
          <w:szCs w:val="32"/>
        </w:rPr>
        <w:t xml:space="preserve">Système de Monitoring du Trafic en Temps Réel</w:t>
      </w:r>
    </w:p>
    <w:p>
      <w:pPr>
        <w:spacing w:after="160"/>
        <w:jc w:val="center"/>
      </w:pPr>
      <w:r>
        <w:rPr>
          <w:rFonts w:ascii="Arial" w:cs="Arial" w:eastAsia="Arial" w:hAnsi="Arial"/>
          <w:b/>
          <w:bCs/>
          <w:color w:val="2C3E50"/>
          <w:sz w:val="26"/>
          <w:szCs w:val="26"/>
        </w:rPr>
        <w:t xml:space="preserve">RAPPORT TECHNIQUE</w:t>
      </w:r>
    </w:p>
    <w:p>
      <w:pPr>
        <w:spacing w:after="600"/>
        <w:jc w:val="center"/>
      </w:pPr>
      <w:r>
        <w:rPr>
          <w:rFonts w:ascii="Arial" w:cs="Arial" w:eastAsia="Arial" w:hAnsi="Arial"/>
          <w:i/>
          <w:iCs/>
          <w:color w:val="7F8C8D"/>
          <w:sz w:val="22"/>
          <w:szCs w:val="22"/>
        </w:rPr>
        <w:t xml:space="preserve">Port Autonome d’Abidjan — Abidjan, Côte d’Ivoire</w:t>
      </w:r>
    </w:p>
    <w:p>
      <w:pPr>
        <w:spacing w:after="80"/>
        <w:jc w:val="center"/>
      </w:pPr>
      <w:r>
        <w:rPr>
          <w:rFonts w:ascii="Arial" w:cs="Arial" w:eastAsia="Arial" w:hAnsi="Arial"/>
          <w:color w:val="7F8C8D"/>
          <w:sz w:val="20"/>
          <w:szCs w:val="20"/>
        </w:rPr>
        <w:t xml:space="preserve">Présenté à :</w:t>
      </w:r>
    </w:p>
    <w:p>
      <w:pPr>
        <w:spacing w:after="600"/>
        <w:jc w:val="center"/>
      </w:pPr>
      <w:r>
        <w:rPr>
          <w:rFonts w:ascii="Arial" w:cs="Arial" w:eastAsia="Arial" w:hAnsi="Arial"/>
          <w:b/>
          <w:bCs/>
          <w:color w:val="2C3E50"/>
          <w:sz w:val="22"/>
          <w:szCs w:val="22"/>
        </w:rPr>
        <w:t xml:space="preserve">Direction du Port Autonome d’Abidjan (PAA)</w:t>
      </w:r>
    </w:p>
    <w:p>
      <w:pPr>
        <w:pBdr>
          <w:top w:val="single" w:color="1B4F8A" w:sz="4" w:space="1"/>
        </w:pBdr>
        <w:spacing w:after="120" w:before="400"/>
        <w:jc w:val="center"/>
      </w:pPr>
      <w:r>
        <w:rPr>
          <w:rFonts w:ascii="Arial" w:cs="Arial" w:eastAsia="Arial" w:hAnsi="Arial"/>
          <w:b/>
          <w:bCs/>
          <w:color w:val="2C3E50"/>
          <w:sz w:val="22"/>
          <w:szCs w:val="22"/>
        </w:rPr>
        <w:t xml:space="preserve">Juin 2026</w:t>
      </w:r>
    </w:p>
    <w:p>
      <w:pPr>
        <w:spacing w:after="0"/>
        <w:jc w:val="center"/>
      </w:pPr>
      <w:r>
        <w:rPr>
          <w:rFonts w:ascii="Arial" w:cs="Arial" w:eastAsia="Arial" w:hAnsi="Arial"/>
          <w:i/>
          <w:iCs/>
          <w:color w:val="7F8C8D"/>
          <w:sz w:val="20"/>
          <w:szCs w:val="20"/>
        </w:rPr>
        <w:t xml:space="preserve">Version 1.0.0 — Prototype de démonstration</w:t>
      </w:r>
    </w:p>
    <w:p>
      <w:pPr>
        <w:sectPr>
          <w:pgSz w:w="11906" w:h="16838" w:orient="portrait"/>
          <w:pgMar w:top="1800" w:right="1134" w:bottom="1440" w:left="1134" w:header="708" w:footer="708" w:gutter="0"/>
          <w:pgNumType/>
          <w:docGrid w:linePitch="360"/>
        </w:sectPr>
      </w:pPr>
    </w:p>
    <w:p>
      <w:pPr>
        <w:pStyle w:val="Heading1"/>
        <w:spacing w:after="200" w:before="240"/>
      </w:pPr>
      <w:r>
        <w:rPr>
          <w:rFonts w:ascii="Arial" w:cs="Arial" w:eastAsia="Arial" w:hAnsi="Arial"/>
          <w:b/>
          <w:bCs/>
          <w:color w:val="1B4F8A"/>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4F8A"/>
          <w:sz w:val="32"/>
          <w:szCs w:val="32"/>
        </w:rPr>
        <w:t xml:space="preserve">1. Résumé exécutif</w:t>
      </w:r>
    </w:p>
    <w:p>
      <w:pPr>
        <w:pBdr>
          <w:bottom w:val="single" w:color="1B4F8A" w:sz="4" w:space="1"/>
        </w:pBdr>
        <w:spacing w:after="240"/>
      </w:pPr>
    </w:p>
    <w:p>
      <w:pPr>
        <w:spacing w:after="160" w:line="280"/>
        <w:jc w:val="left"/>
      </w:pPr>
      <w:r>
        <w:rPr>
          <w:rFonts w:ascii="Arial" w:cs="Arial" w:eastAsia="Arial" w:hAnsi="Arial"/>
          <w:b w:val="false"/>
          <w:bCs w:val="false"/>
          <w:i w:val="false"/>
          <w:iCs w:val="false"/>
          <w:color w:val="2C3E50"/>
          <w:sz w:val="22"/>
          <w:szCs w:val="22"/>
        </w:rPr>
        <w:t xml:space="preserve">Le Port Autonome d’Abidjan (PAA) représente le premier hub logistique d’Afrique de l’Ouest, traité chaque jour plusieurs milliers de véhicules entrant et sortant par trois axes routiers principaux. En l’absence d’un système centralisé de surveillance du trafic, les opérateurs portuaires ne disposent d’aucune visibilité en temps réel sur l’état de la circulation, ce qui entraîne des pertes de temps économiquement significatives pour les transporteurs et les entreprises clientèles du port.</w:t>
      </w:r>
    </w:p>
    <w:p>
      <w:pPr>
        <w:spacing w:after="160" w:line="280"/>
        <w:jc w:val="left"/>
      </w:pPr>
      <w:r>
        <w:rPr>
          <w:rFonts w:ascii="Arial" w:cs="Arial" w:eastAsia="Arial" w:hAnsi="Arial"/>
          <w:b w:val="false"/>
          <w:bCs w:val="false"/>
          <w:i w:val="false"/>
          <w:iCs w:val="false"/>
          <w:color w:val="2C3E50"/>
          <w:sz w:val="22"/>
          <w:szCs w:val="22"/>
        </w:rPr>
        <w:t xml:space="preserve">PortFlow répond à cette problématique en proposant un dashboard web temps réel, accessible depuis n’importe quel navigateur, qui surveille en continu les trois axes d’accès au PAA — CARENA, Toyota CFAO et SODECI. L’application combine les données de trafic issues de l’API TomTom Routing avec une architecture Firebase Firestore pour la persistance, et expose dix indicateurs de performance opérationnels (I1 à I10) actualisés automatiquement toutes les dix minutes via un système de collecte GitHub Actions.</w:t>
      </w:r>
    </w:p>
    <w:p>
      <w:pPr>
        <w:spacing w:after="160" w:line="280"/>
        <w:jc w:val="left"/>
      </w:pPr>
      <w:r>
        <w:rPr>
          <w:rFonts w:ascii="Arial" w:cs="Arial" w:eastAsia="Arial" w:hAnsi="Arial"/>
          <w:b w:val="false"/>
          <w:bCs w:val="false"/>
          <w:i w:val="false"/>
          <w:iCs w:val="false"/>
          <w:color w:val="2C3E50"/>
          <w:sz w:val="22"/>
          <w:szCs w:val="22"/>
        </w:rPr>
        <w:t xml:space="preserve">Sur le plan analytique, PortFlow intègre un module de prédiction par apprentissage automatique (Random Forest) entraîné sur 2 016 mesures historiques réelles collectées en février 2025, avec une précision de classification atteinte de 79,18 %. Ce modèle permet d’anticiper le niveau de congestion pour chaque axe selon le jour de la semaine et l’heure, jusqu’à la journée à venir. Un assistant IA intégré, alimenté par Google Gemini 2.5 Flash Lite et contextualisé avec les données de trafic en cours, fournit des recommandations opérationnelles en langage naturel.</w:t>
      </w:r>
    </w:p>
    <w:p>
      <w:pPr>
        <w:spacing w:after="160" w:line="280"/>
        <w:jc w:val="left"/>
      </w:pPr>
      <w:r>
        <w:rPr>
          <w:rFonts w:ascii="Arial" w:cs="Arial" w:eastAsia="Arial" w:hAnsi="Arial"/>
          <w:b w:val="false"/>
          <w:bCs w:val="false"/>
          <w:i w:val="false"/>
          <w:iCs w:val="false"/>
          <w:color w:val="2C3E50"/>
          <w:sz w:val="22"/>
          <w:szCs w:val="22"/>
        </w:rPr>
        <w:t xml:space="preserve">Le prototype livré dans le cadre de STAT-HACK’26 constitue une preuve de concept fonctionnelle, déployée sur Firebase Hosting avec CI/CD automatisé. Il démontre la viabilité technique d’une solution de monitoring trafic à bas coût pour le PAA, et ouvre la voie à une généralisation à l’ensemble des accès portuaires.</w:t>
      </w:r>
    </w:p>
    <w:p>
      <w:r>
        <w:br w:type="page"/>
      </w:r>
    </w:p>
    <w:p>
      <w:pPr>
        <w:pStyle w:val="Heading1"/>
        <w:spacing w:after="200" w:before="360"/>
      </w:pPr>
      <w:r>
        <w:rPr>
          <w:rFonts w:ascii="Arial" w:cs="Arial" w:eastAsia="Arial" w:hAnsi="Arial"/>
          <w:b/>
          <w:bCs/>
          <w:color w:val="1B4F8A"/>
          <w:sz w:val="32"/>
          <w:szCs w:val="32"/>
        </w:rPr>
        <w:t xml:space="preserve">2. Contexte et problématique</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2.1 Le Port Autonome d’Abidjan</w:t>
      </w:r>
    </w:p>
    <w:p>
      <w:pPr>
        <w:spacing w:after="160" w:line="280"/>
        <w:jc w:val="left"/>
      </w:pPr>
      <w:r>
        <w:rPr>
          <w:rFonts w:ascii="Arial" w:cs="Arial" w:eastAsia="Arial" w:hAnsi="Arial"/>
          <w:b w:val="false"/>
          <w:bCs w:val="false"/>
          <w:i w:val="false"/>
          <w:iCs w:val="false"/>
          <w:color w:val="2C3E50"/>
          <w:sz w:val="22"/>
          <w:szCs w:val="22"/>
        </w:rPr>
        <w:t xml:space="preserve">Le Port Autonome d’Abidjan est le premier port à conteneurs d’Afrique de l’Ouest et le deuxième d’Afrique subsaharienne. Traité un volume considérable de fret chaque année, il est un noeud logistique stratégique pour la Côte d’Ivoire et la sous-région. La circulation des camions et transporteurs génère des phénomènes de congestion aux heures de pointe (6h30–09h30, 12h00–13h30 et 16h30–19h30), perturbant les rotations et allongeant les délais de livraison.</w:t>
      </w:r>
    </w:p>
    <w:p>
      <w:pPr>
        <w:pStyle w:val="Heading2"/>
        <w:spacing w:after="160" w:before="280"/>
      </w:pPr>
      <w:r>
        <w:rPr>
          <w:rFonts w:ascii="Arial" w:cs="Arial" w:eastAsia="Arial" w:hAnsi="Arial"/>
          <w:b/>
          <w:bCs/>
          <w:color w:val="2874A6"/>
          <w:sz w:val="26"/>
          <w:szCs w:val="26"/>
        </w:rPr>
        <w:t xml:space="preserve">2.2 Les trois axes surveillés</w:t>
      </w:r>
    </w:p>
    <w:p>
      <w:pPr>
        <w:spacing w:after="160" w:line="280"/>
        <w:jc w:val="left"/>
      </w:pPr>
      <w:r>
        <w:rPr>
          <w:rFonts w:ascii="Arial" w:cs="Arial" w:eastAsia="Arial" w:hAnsi="Arial"/>
          <w:b w:val="false"/>
          <w:bCs w:val="false"/>
          <w:i w:val="false"/>
          <w:iCs w:val="false"/>
          <w:color w:val="2C3E50"/>
          <w:sz w:val="22"/>
          <w:szCs w:val="22"/>
        </w:rPr>
        <w:t xml:space="preserve">PortFlow surveille en temps réel les trois axes d’accès principaux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700"/>
        <w:gridCol w:w="2000"/>
        <w:gridCol w:w="1326"/>
      </w:tblGrid>
      <w:tr>
        <w:tc>
          <w:tcPr>
            <w:tcW w:type="dxa" w:w="1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Axe</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Nom court</w:t>
            </w:r>
          </w:p>
        </w:tc>
        <w:tc>
          <w:tcPr>
            <w:tcW w:type="dxa" w:w="17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Distance</w:t>
            </w:r>
          </w:p>
        </w:tc>
        <w:tc>
          <w:tcPr>
            <w:tcW w:type="dxa" w:w="2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Temps référence</w:t>
            </w:r>
          </w:p>
        </w:tc>
        <w:tc>
          <w:tcPr>
            <w:tcW w:type="dxa" w:w="13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Bidirectionnel</w:t>
            </w:r>
          </w:p>
        </w:tc>
      </w:tr>
      <w:tr>
        <w:tc>
          <w:tcPr>
            <w:tcW w:type="dxa" w:w="1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1</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CARENA</w:t>
            </w:r>
          </w:p>
        </w:tc>
        <w:tc>
          <w:tcPr>
            <w:tcW w:type="dxa" w:w="1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12,4 km</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27,4 min</w:t>
            </w:r>
          </w:p>
        </w:tc>
        <w:tc>
          <w:tcPr>
            <w:tcW w:type="dxa" w:w="1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1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2</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Toyota CFAO</w:t>
            </w:r>
          </w:p>
        </w:tc>
        <w:tc>
          <w:tcPr>
            <w:tcW w:type="dxa" w:w="1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7,0 km</w:t>
            </w:r>
          </w:p>
        </w:tc>
        <w:tc>
          <w:tcPr>
            <w:tcW w:type="dxa" w:w="2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16,9 min</w:t>
            </w:r>
          </w:p>
        </w:tc>
        <w:tc>
          <w:tcPr>
            <w:tcW w:type="dxa" w:w="1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1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3</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SODECI</w:t>
            </w:r>
          </w:p>
        </w:tc>
        <w:tc>
          <w:tcPr>
            <w:tcW w:type="dxa" w:w="1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10,9 km</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17,8 min</w:t>
            </w:r>
          </w:p>
        </w:tc>
        <w:tc>
          <w:tcPr>
            <w:tcW w:type="dxa" w:w="1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bl>
    <w:p>
      <w:pPr>
        <w:spacing w:after="200"/>
      </w:pPr>
    </w:p>
    <w:p>
      <w:pPr>
        <w:spacing w:after="160" w:line="280"/>
        <w:jc w:val="left"/>
      </w:pPr>
      <w:r>
        <w:rPr>
          <w:rFonts w:ascii="Arial" w:cs="Arial" w:eastAsia="Arial" w:hAnsi="Arial"/>
          <w:b w:val="false"/>
          <w:bCs w:val="false"/>
          <w:i w:val="false"/>
          <w:iCs w:val="false"/>
          <w:color w:val="2C3E50"/>
          <w:sz w:val="22"/>
          <w:szCs w:val="22"/>
        </w:rPr>
        <w:t xml:space="preserve">Les trois axes sont bidirectionnels (sens aller et sens retour surveillés indépendamment) et convergent vers un point commun situé au niveau de la Pharmacie Palm Beach (coordonnées : 5.2587, -3.9821). L’ensemble est tronconné en 11 sous-segments (« tronçons ») permettant une localisation fine de la congestion.</w:t>
      </w:r>
    </w:p>
    <w:p>
      <w:pPr>
        <w:pStyle w:val="Heading2"/>
        <w:spacing w:after="160" w:before="280"/>
      </w:pPr>
      <w:r>
        <w:rPr>
          <w:rFonts w:ascii="Arial" w:cs="Arial" w:eastAsia="Arial" w:hAnsi="Arial"/>
          <w:b/>
          <w:bCs/>
          <w:color w:val="2874A6"/>
          <w:sz w:val="26"/>
          <w:szCs w:val="26"/>
        </w:rPr>
        <w:t xml:space="preserve">2.3 Problématique identifiée</w:t>
      </w:r>
    </w:p>
    <w:p>
      <w:pPr>
        <w:pStyle w:val="ListParagraph"/>
        <w:numPr>
          <w:ilvl w:val="0"/>
          <w:numId w:val="2"/>
        </w:numPr>
        <w:spacing w:after="100"/>
      </w:pPr>
      <w:r>
        <w:rPr>
          <w:rFonts w:ascii="Arial" w:cs="Arial" w:eastAsia="Arial" w:hAnsi="Arial"/>
          <w:color w:val="2C3E50"/>
          <w:sz w:val="20"/>
          <w:szCs w:val="20"/>
        </w:rPr>
        <w:t xml:space="preserve">Absence de système de monitoring temps réel : les opérateurs ne connaissent pas l’état du trafic avant d’exprimer une rotation</w:t>
      </w:r>
    </w:p>
    <w:p>
      <w:pPr>
        <w:pStyle w:val="ListParagraph"/>
        <w:numPr>
          <w:ilvl w:val="0"/>
          <w:numId w:val="2"/>
        </w:numPr>
        <w:spacing w:after="100"/>
      </w:pPr>
      <w:r>
        <w:rPr>
          <w:rFonts w:ascii="Arial" w:cs="Arial" w:eastAsia="Arial" w:hAnsi="Arial"/>
          <w:color w:val="2C3E50"/>
          <w:sz w:val="20"/>
          <w:szCs w:val="20"/>
        </w:rPr>
        <w:t xml:space="preserve">Pas de détection automatisée de la congestion ni d’alerte</w:t>
      </w:r>
    </w:p>
    <w:p>
      <w:pPr>
        <w:pStyle w:val="ListParagraph"/>
        <w:numPr>
          <w:ilvl w:val="0"/>
          <w:numId w:val="2"/>
        </w:numPr>
        <w:spacing w:after="100"/>
      </w:pPr>
      <w:r>
        <w:rPr>
          <w:rFonts w:ascii="Arial" w:cs="Arial" w:eastAsia="Arial" w:hAnsi="Arial"/>
          <w:color w:val="2C3E50"/>
          <w:sz w:val="20"/>
          <w:szCs w:val="20"/>
        </w:rPr>
        <w:t xml:space="preserve">Aucune capacité prédictive permettant d’anticiper les pics de trafic</w:t>
      </w:r>
    </w:p>
    <w:p>
      <w:pPr>
        <w:pStyle w:val="ListParagraph"/>
        <w:numPr>
          <w:ilvl w:val="0"/>
          <w:numId w:val="2"/>
        </w:numPr>
        <w:spacing w:after="100"/>
      </w:pPr>
      <w:r>
        <w:rPr>
          <w:rFonts w:ascii="Arial" w:cs="Arial" w:eastAsia="Arial" w:hAnsi="Arial"/>
          <w:color w:val="2C3E50"/>
          <w:sz w:val="20"/>
          <w:szCs w:val="20"/>
        </w:rPr>
        <w:t xml:space="preserve">Données de trafic fragilisées par l’utilisation d’outils génériques non adaptés au contexte portuaire</w:t>
      </w:r>
    </w:p>
    <w:p>
      <w:r>
        <w:br w:type="page"/>
      </w:r>
    </w:p>
    <w:p>
      <w:pPr>
        <w:pStyle w:val="Heading1"/>
        <w:spacing w:after="200" w:before="360"/>
      </w:pPr>
      <w:r>
        <w:rPr>
          <w:rFonts w:ascii="Arial" w:cs="Arial" w:eastAsia="Arial" w:hAnsi="Arial"/>
          <w:b/>
          <w:bCs/>
          <w:color w:val="1B4F8A"/>
          <w:sz w:val="32"/>
          <w:szCs w:val="32"/>
        </w:rPr>
        <w:t xml:space="preserve">3. Architecture technique</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3.1 Stack technologique complète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c>
          <w:tcPr>
            <w:tcW w:type="dxa" w:w="22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Couche</w:t>
            </w:r>
          </w:p>
        </w:tc>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Technologie</w:t>
            </w:r>
          </w:p>
        </w:tc>
        <w:tc>
          <w:tcPr>
            <w:tcW w:type="dxa" w:w="33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Rôle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Frontend</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React 19 + Vite 8 + Tailwind CSS v4</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Interface utilisateur (SPA)</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Cartographie</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Leaflet 1.9 + React-Leaflet 5</w:t>
            </w:r>
          </w:p>
        </w:tc>
        <w:tc>
          <w:tcPr>
            <w:tcW w:type="dxa" w:w="3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Carte interactive et traçés des axes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Graphiques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Chart.js 4 + react-chartjs-2 5</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Courbes, barres, heatmap, donut</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Base de données</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Firebase Firestore (NoSQL)</w:t>
            </w:r>
          </w:p>
        </w:tc>
        <w:tc>
          <w:tcPr>
            <w:tcW w:type="dxa" w:w="3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Persistance axes, mesures, prédictions, utilisateurs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Authentification</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Firebase Auth (Email/Password)</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Accès administrateur protégé</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Hébergement</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Firebase Hosting</w:t>
            </w:r>
          </w:p>
        </w:tc>
        <w:tc>
          <w:tcPr>
            <w:tcW w:type="dxa" w:w="3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Déploiement de la SPA (CDN mondial)</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Trafic temps réel</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TomTom Routing API v1</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Calcul de temps de trajet actuel</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Routage de secours</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OSRM (open-source)</w:t>
            </w:r>
          </w:p>
        </w:tc>
        <w:tc>
          <w:tcPr>
            <w:tcW w:type="dxa" w:w="3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Fallback si TomTom indisponible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 automatisée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GitHub Actions (cron */10 min)</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 toutes les 10 min (Node.js)</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IA / Recommandations</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Google Gemini 2.5 Flash Lite</w:t>
            </w:r>
          </w:p>
        </w:tc>
        <w:tc>
          <w:tcPr>
            <w:tcW w:type="dxa" w:w="3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Assistant IA et analyse de trafic</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Machine Learning</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scikit-learn (Python) — Random Forest</w:t>
            </w:r>
          </w:p>
        </w:tc>
        <w:tc>
          <w:tcPr>
            <w:tcW w:type="dxa" w:w="3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Prédiction du niveau de congestion</w:t>
            </w:r>
          </w:p>
        </w:tc>
      </w:tr>
    </w:tbl>
    <w:p>
      <w:pPr>
        <w:spacing w:after="240"/>
      </w:pPr>
    </w:p>
    <w:p>
      <w:pPr>
        <w:pStyle w:val="Heading2"/>
        <w:spacing w:after="160" w:before="280"/>
      </w:pPr>
      <w:r>
        <w:rPr>
          <w:rFonts w:ascii="Arial" w:cs="Arial" w:eastAsia="Arial" w:hAnsi="Arial"/>
          <w:b/>
          <w:bCs/>
          <w:color w:val="2874A6"/>
          <w:sz w:val="26"/>
          <w:szCs w:val="26"/>
        </w:rPr>
        <w:t xml:space="preserve">3.2 Schéma d’architecture</w:t>
      </w:r>
    </w:p>
    <w:p>
      <w:pPr>
        <w:spacing w:after="160" w:line="280"/>
        <w:jc w:val="left"/>
      </w:pPr>
      <w:r>
        <w:rPr>
          <w:rFonts w:ascii="Arial" w:cs="Arial" w:eastAsia="Arial" w:hAnsi="Arial"/>
          <w:b w:val="false"/>
          <w:bCs w:val="false"/>
          <w:i w:val="false"/>
          <w:iCs w:val="false"/>
          <w:color w:val="2C3E50"/>
          <w:sz w:val="22"/>
          <w:szCs w:val="22"/>
        </w:rPr>
        <w:t xml:space="preserve">Le système repose sur deux flux de données :</w:t>
      </w:r>
    </w:p>
    <w:p>
      <w:pPr>
        <w:spacing w:after="160" w:line="280"/>
        <w:jc w:val="left"/>
      </w:pPr>
      <w:r>
        <w:rPr>
          <w:rFonts w:ascii="Arial" w:cs="Arial" w:eastAsia="Arial" w:hAnsi="Arial"/>
          <w:b w:val="false"/>
          <w:bCs w:val="false"/>
          <w:i w:val="false"/>
          <w:iCs w:val="false"/>
          <w:color w:val="2C3E50"/>
          <w:sz w:val="22"/>
          <w:szCs w:val="22"/>
        </w:rPr>
        <w:t xml:space="preserve">► Flux 1 — Collecte automatisée (GitHub Actions)</w:t>
      </w:r>
    </w:p>
    <w:p>
      <w:pPr>
        <w:spacing w:after="160" w:line="280"/>
        <w:jc w:val="left"/>
      </w:pPr>
      <w:r>
        <w:rPr>
          <w:rFonts w:ascii="Arial" w:cs="Arial" w:eastAsia="Arial" w:hAnsi="Arial"/>
          <w:b w:val="false"/>
          <w:bCs w:val="false"/>
          <w:i w:val="false"/>
          <w:iCs w:val="false"/>
          <w:color w:val="555555"/>
          <w:sz w:val="22"/>
          <w:szCs w:val="22"/>
        </w:rPr>
        <w:t xml:space="preserve">Toutes les 10 minutes, un job GitHub Actions exécute le script Node.js collector/collecte.js. Ce script interroge l’API TomTom (et Google Distance Matrix en priorité si configuré) pour les 6 routes (3 axes × 2 sens), calcule les indicateurs I1–I7, et écrit dans Firestore les collections mesures_live (mesure courante) et collecte_auto (archive).</w:t>
      </w:r>
    </w:p>
    <w:p>
      <w:pPr>
        <w:spacing w:after="160" w:line="280"/>
        <w:jc w:val="left"/>
      </w:pPr>
      <w:r>
        <w:rPr>
          <w:rFonts w:ascii="Arial" w:cs="Arial" w:eastAsia="Arial" w:hAnsi="Arial"/>
          <w:b w:val="false"/>
          <w:bCs w:val="false"/>
          <w:i w:val="false"/>
          <w:iCs w:val="false"/>
          <w:color w:val="2C3E50"/>
          <w:sz w:val="22"/>
          <w:szCs w:val="22"/>
        </w:rPr>
        <w:t xml:space="preserve">► Flux 2 — Actualisation navigateur (React)</w:t>
      </w:r>
    </w:p>
    <w:p>
      <w:pPr>
        <w:spacing w:after="160" w:line="280"/>
        <w:jc w:val="left"/>
      </w:pPr>
      <w:r>
        <w:rPr>
          <w:rFonts w:ascii="Arial" w:cs="Arial" w:eastAsia="Arial" w:hAnsi="Arial"/>
          <w:b w:val="false"/>
          <w:bCs w:val="false"/>
          <w:i w:val="false"/>
          <w:iCs w:val="false"/>
          <w:color w:val="555555"/>
          <w:sz w:val="22"/>
          <w:szCs w:val="22"/>
        </w:rPr>
        <w:t xml:space="preserve">Au chargement de la page, l’application s’abonne à mesures_live via un listener onSnapshot (Firestore). Dès qu’une écriture GitHub Actions arrive, l’interface est mise à jour sans rechargement. Parallèlement, toutes les 2 minutes, le hook useTrafficData tente un appel direct à TomTom depuis le navigateur pour affiner les données si la clé est disponible dans le build.</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00"/>
        <w:gridCol w:w="2326"/>
      </w:tblGrid>
      <w:tr>
        <w:tc>
          <w:tcPr>
            <w:tcW w:type="dxa" w:w="22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Composant</w:t>
            </w:r>
          </w:p>
        </w:tc>
        <w:tc>
          <w:tcPr>
            <w:tcW w:type="dxa" w:w="2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Entrée</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Sortie</w:t>
            </w:r>
          </w:p>
        </w:tc>
        <w:tc>
          <w:tcPr>
            <w:tcW w:type="dxa" w:w="23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Technologie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Collecteur automatisé</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Coordonnées des 3 axes</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mesures_live + collecte_auto</w:t>
            </w:r>
          </w:p>
        </w:tc>
        <w:tc>
          <w:tcPr>
            <w:tcW w:type="dxa" w:w="2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Node.js + GitHub Actions</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Dashboard React</w:t>
            </w:r>
          </w:p>
        </w:tc>
        <w:tc>
          <w:tcPr>
            <w:tcW w:type="dxa" w:w="2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mesures_live (Firestore)</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KPI cards + carte + alertes</w:t>
            </w:r>
          </w:p>
        </w:tc>
        <w:tc>
          <w:tcPr>
            <w:tcW w:type="dxa" w:w="2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React 19 + Leaflet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Page Graphiques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 + collecte_auto</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Courbes 24h + heatmap + donut</w:t>
            </w:r>
          </w:p>
        </w:tc>
        <w:tc>
          <w:tcPr>
            <w:tcW w:type="dxa" w:w="2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Chart.js</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Module ML</w:t>
            </w:r>
          </w:p>
        </w:tc>
        <w:tc>
          <w:tcPr>
            <w:tcW w:type="dxa" w:w="2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 historiques (CSV)</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predictions.json</w:t>
            </w:r>
          </w:p>
        </w:tc>
        <w:tc>
          <w:tcPr>
            <w:tcW w:type="dxa" w:w="2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Python scikit-learn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Assistant IA</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Données trafic + historique chat</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Recommandations textuelles</w:t>
            </w:r>
          </w:p>
        </w:tc>
        <w:tc>
          <w:tcPr>
            <w:tcW w:type="dxa" w:w="23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Google Gemini 2.5 Flash Lite</w:t>
            </w:r>
          </w:p>
        </w:tc>
      </w:tr>
      <w:tr>
        <w:tc>
          <w:tcPr>
            <w:tcW w:type="dxa" w:w="22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Interface Admin</w:t>
            </w:r>
          </w:p>
        </w:tc>
        <w:tc>
          <w:tcPr>
            <w:tcW w:type="dxa" w:w="2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Firestore flowport_axes/_troncons</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CRUD axes et tronçons</w:t>
            </w:r>
          </w:p>
        </w:tc>
        <w:tc>
          <w:tcPr>
            <w:tcW w:type="dxa" w:w="23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React + Firestore</w:t>
            </w:r>
          </w:p>
        </w:tc>
      </w:tr>
    </w:tbl>
    <w:p>
      <w:pPr>
        <w:spacing w:after="240"/>
      </w:pPr>
    </w:p>
    <w:p>
      <w:pPr>
        <w:pStyle w:val="Heading2"/>
        <w:spacing w:after="160" w:before="280"/>
      </w:pPr>
      <w:r>
        <w:rPr>
          <w:rFonts w:ascii="Arial" w:cs="Arial" w:eastAsia="Arial" w:hAnsi="Arial"/>
          <w:b/>
          <w:bCs/>
          <w:color w:val="2874A6"/>
          <w:sz w:val="26"/>
          <w:szCs w:val="26"/>
        </w:rPr>
        <w:t xml:space="preserve">3.3 Schéma Firestore — Collections réelles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000"/>
        <w:gridCol w:w="1626"/>
      </w:tblGrid>
      <w:tr>
        <w:tc>
          <w:tcPr>
            <w:tcW w:type="dxa" w:w="24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Collection</w:t>
            </w:r>
          </w:p>
        </w:tc>
        <w:tc>
          <w:tcPr>
            <w:tcW w:type="dxa" w:w="5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Documents type</w:t>
            </w:r>
          </w:p>
        </w:tc>
        <w:tc>
          <w:tcPr>
            <w:tcW w:type="dxa" w:w="16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Mise à jour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flowport_axes</w:t>
            </w:r>
          </w:p>
        </w:tc>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id, nom, shortNom, coordinates[], tRef, distance, bidirectionnel, actif, ordre, start, geometryRoute }</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Manuelle (Admin)</w:t>
            </w:r>
          </w:p>
        </w:tc>
      </w:tr>
      <w:tr>
        <w:tc>
          <w:tcPr>
            <w:tcW w:type="dxa" w:w="24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flowport_troncons</w:t>
            </w:r>
          </w:p>
        </w:tc>
        <w:tc>
          <w:tcPr>
            <w:tcW w:type="dxa" w:w="5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id, axeId, nom, code, dist, coordinates[], ordre }</w:t>
            </w:r>
          </w:p>
        </w:tc>
        <w:tc>
          <w:tcPr>
            <w:tcW w:type="dxa" w:w="16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Manuelle (Admin)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flowport_seuils</w:t>
            </w:r>
          </w:p>
        </w:tc>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axeId, orange, rouge }</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Manuelle (Admin)</w:t>
            </w:r>
          </w:p>
        </w:tc>
      </w:tr>
      <w:tr>
        <w:tc>
          <w:tcPr>
            <w:tcW w:type="dxa" w:w="24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mesures_live</w:t>
            </w:r>
          </w:p>
        </w:tc>
        <w:tc>
          <w:tcPr>
            <w:tcW w:type="dxa" w:w="5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axeId, sens, temps_min, dist_km, niveau, vitesse, retard, timestamp, source }</w:t>
            </w:r>
          </w:p>
        </w:tc>
        <w:tc>
          <w:tcPr>
            <w:tcW w:type="dxa" w:w="16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Automatique (10 min)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w:t>
            </w:r>
          </w:p>
        </w:tc>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axeId, sens, heure, date, jour_semaine, temps_min, I1–I7 }</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Historique (2 016 entrées, février 2025)</w:t>
            </w:r>
          </w:p>
        </w:tc>
      </w:tr>
      <w:tr>
        <w:tc>
          <w:tcPr>
            <w:tcW w:type="dxa" w:w="24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collecte_auto</w:t>
            </w:r>
          </w:p>
        </w:tc>
        <w:tc>
          <w:tcPr>
            <w:tcW w:type="dxa" w:w="5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axeId, sens, temps_min, heure, date, timestamp, I1–I7, source }</w:t>
            </w:r>
          </w:p>
        </w:tc>
        <w:tc>
          <w:tcPr>
            <w:tcW w:type="dxa" w:w="16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Automatique (archive, toutes les 10 min)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users</w:t>
            </w:r>
          </w:p>
        </w:tc>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email, role, actif, createdAt }</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Manuel (Admin)</w:t>
            </w:r>
          </w:p>
        </w:tc>
      </w:tr>
      <w:tr>
        <w:tc>
          <w:tcPr>
            <w:tcW w:type="dxa" w:w="24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references</w:t>
            </w:r>
          </w:p>
        </w:tc>
        <w:tc>
          <w:tcPr>
            <w:tcW w:type="dxa" w:w="5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de référence horaires par axe/sens</w:t>
            </w:r>
          </w:p>
        </w:tc>
        <w:tc>
          <w:tcPr>
            <w:tcW w:type="dxa" w:w="16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Statique (seed initial)</w:t>
            </w:r>
          </w:p>
        </w:tc>
      </w:tr>
    </w:tbl>
    <w:p>
      <w:r>
        <w:br w:type="page"/>
      </w:r>
    </w:p>
    <w:p>
      <w:pPr>
        <w:pStyle w:val="Heading1"/>
        <w:spacing w:after="200" w:before="360"/>
      </w:pPr>
      <w:r>
        <w:rPr>
          <w:rFonts w:ascii="Arial" w:cs="Arial" w:eastAsia="Arial" w:hAnsi="Arial"/>
          <w:b/>
          <w:bCs/>
          <w:color w:val="1B4F8A"/>
          <w:sz w:val="32"/>
          <w:szCs w:val="32"/>
        </w:rPr>
        <w:t xml:space="preserve">4. Fonctionnalités implémentées</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4.1 Dashboard temps réel (DashboardPage.jsx)</w:t>
      </w:r>
    </w:p>
    <w:p>
      <w:pPr>
        <w:pStyle w:val="ListParagraph"/>
        <w:numPr>
          <w:ilvl w:val="0"/>
          <w:numId w:val="2"/>
        </w:numPr>
        <w:spacing w:after="100"/>
      </w:pPr>
      <w:r>
        <w:rPr>
          <w:rFonts w:ascii="Arial" w:cs="Arial" w:eastAsia="Arial" w:hAnsi="Arial"/>
          <w:color w:val="2C3E50"/>
          <w:sz w:val="20"/>
          <w:szCs w:val="20"/>
        </w:rPr>
        <w:t xml:space="preserve">Carte interactive Leaflet centrée sur le PAA avec les 3 axes colorés selon leur niveau de congestion</w:t>
      </w:r>
    </w:p>
    <w:p>
      <w:pPr>
        <w:pStyle w:val="ListParagraph"/>
        <w:numPr>
          <w:ilvl w:val="0"/>
          <w:numId w:val="2"/>
        </w:numPr>
        <w:spacing w:after="100"/>
      </w:pPr>
      <w:r>
        <w:rPr>
          <w:rFonts w:ascii="Arial" w:cs="Arial" w:eastAsia="Arial" w:hAnsi="Arial"/>
          <w:color w:val="2C3E50"/>
          <w:sz w:val="20"/>
          <w:szCs w:val="20"/>
        </w:rPr>
        <w:t xml:space="preserve">Traçés bidirectionnels : sens aller (trait plein) et sens retour (pointillés)</w:t>
      </w:r>
    </w:p>
    <w:p>
      <w:pPr>
        <w:pStyle w:val="ListParagraph"/>
        <w:numPr>
          <w:ilvl w:val="0"/>
          <w:numId w:val="2"/>
        </w:numPr>
        <w:spacing w:after="100"/>
      </w:pPr>
      <w:r>
        <w:rPr>
          <w:rFonts w:ascii="Arial" w:cs="Arial" w:eastAsia="Arial" w:hAnsi="Arial"/>
          <w:color w:val="2C3E50"/>
          <w:sz w:val="20"/>
          <w:szCs w:val="20"/>
        </w:rPr>
        <w:t xml:space="preserve">Tronçons individuellement colorés avec popup détaillé (vitesse, temps estimé, retard, ratio)</w:t>
      </w:r>
    </w:p>
    <w:p>
      <w:pPr>
        <w:pStyle w:val="ListParagraph"/>
        <w:numPr>
          <w:ilvl w:val="0"/>
          <w:numId w:val="2"/>
        </w:numPr>
        <w:spacing w:after="100"/>
      </w:pPr>
      <w:r>
        <w:rPr>
          <w:rFonts w:ascii="Arial" w:cs="Arial" w:eastAsia="Arial" w:hAnsi="Arial"/>
          <w:color w:val="2C3E50"/>
          <w:sz w:val="20"/>
          <w:szCs w:val="20"/>
        </w:rPr>
        <w:t xml:space="preserve">5 cartes KPI : temps moyen global, tronçon critique, retard moyen, % axes dégradés, vitesse moyenne</w:t>
      </w:r>
    </w:p>
    <w:p>
      <w:pPr>
        <w:pStyle w:val="ListParagraph"/>
        <w:numPr>
          <w:ilvl w:val="0"/>
          <w:numId w:val="2"/>
        </w:numPr>
        <w:spacing w:after="100"/>
      </w:pPr>
      <w:r>
        <w:rPr>
          <w:rFonts w:ascii="Arial" w:cs="Arial" w:eastAsia="Arial" w:hAnsi="Arial"/>
          <w:color w:val="2C3E50"/>
          <w:sz w:val="20"/>
          <w:szCs w:val="20"/>
        </w:rPr>
        <w:t xml:space="preserve">Indicateur LIVE avec countdown vers la prochaine actualisation</w:t>
      </w:r>
    </w:p>
    <w:p>
      <w:pPr>
        <w:pStyle w:val="ListParagraph"/>
        <w:numPr>
          <w:ilvl w:val="0"/>
          <w:numId w:val="2"/>
        </w:numPr>
        <w:spacing w:after="100"/>
      </w:pPr>
      <w:r>
        <w:rPr>
          <w:rFonts w:ascii="Arial" w:cs="Arial" w:eastAsia="Arial" w:hAnsi="Arial"/>
          <w:color w:val="2C3E50"/>
          <w:sz w:val="20"/>
          <w:szCs w:val="20"/>
        </w:rPr>
        <w:t xml:space="preserve">Panneau « Alertes actives » listant les axes au niveau N3+</w:t>
      </w:r>
    </w:p>
    <w:p>
      <w:pPr>
        <w:pStyle w:val="ListParagraph"/>
        <w:numPr>
          <w:ilvl w:val="0"/>
          <w:numId w:val="2"/>
        </w:numPr>
        <w:spacing w:after="100"/>
      </w:pPr>
      <w:r>
        <w:rPr>
          <w:rFonts w:ascii="Arial" w:cs="Arial" w:eastAsia="Arial" w:hAnsi="Arial"/>
          <w:color w:val="2C3E50"/>
          <w:sz w:val="20"/>
          <w:szCs w:val="20"/>
        </w:rPr>
        <w:t xml:space="preserve">Basculement carte « Temps réel » / « Prévisions ML »</w:t>
      </w:r>
    </w:p>
    <w:p>
      <w:pPr>
        <w:pStyle w:val="ListParagraph"/>
        <w:numPr>
          <w:ilvl w:val="0"/>
          <w:numId w:val="2"/>
        </w:numPr>
        <w:spacing w:after="100"/>
      </w:pPr>
      <w:r>
        <w:rPr>
          <w:rFonts w:ascii="Arial" w:cs="Arial" w:eastAsia="Arial" w:hAnsi="Arial"/>
          <w:color w:val="2C3E50"/>
          <w:sz w:val="20"/>
          <w:szCs w:val="20"/>
        </w:rPr>
        <w:t xml:space="preserve">Bloc « IA FlowPort » : recommandation automatique générée par Gemini</w:t>
      </w:r>
    </w:p>
    <w:p>
      <w:pPr>
        <w:pStyle w:val="Heading2"/>
        <w:spacing w:after="160" w:before="280"/>
      </w:pPr>
      <w:r>
        <w:rPr>
          <w:rFonts w:ascii="Arial" w:cs="Arial" w:eastAsia="Arial" w:hAnsi="Arial"/>
          <w:b/>
          <w:bCs/>
          <w:color w:val="2874A6"/>
          <w:sz w:val="26"/>
          <w:szCs w:val="26"/>
        </w:rPr>
        <w:t xml:space="preserve">4.2 Graphiques analytiques (GraphiquesPage.jsx)</w:t>
      </w:r>
    </w:p>
    <w:p>
      <w:pPr>
        <w:pStyle w:val="ListParagraph"/>
        <w:numPr>
          <w:ilvl w:val="0"/>
          <w:numId w:val="2"/>
        </w:numPr>
        <w:spacing w:after="100"/>
      </w:pPr>
      <w:r>
        <w:rPr>
          <w:rFonts w:ascii="Arial" w:cs="Arial" w:eastAsia="Arial" w:hAnsi="Arial"/>
          <w:color w:val="2C3E50"/>
          <w:sz w:val="20"/>
          <w:szCs w:val="20"/>
        </w:rPr>
        <w:t xml:space="preserve">Courbe 24h : temps moyen de parcours heure par heure pour un axe et un sens sélectionnés</w:t>
      </w:r>
    </w:p>
    <w:p>
      <w:pPr>
        <w:pStyle w:val="ListParagraph"/>
        <w:numPr>
          <w:ilvl w:val="0"/>
          <w:numId w:val="2"/>
        </w:numPr>
        <w:spacing w:after="100"/>
      </w:pPr>
      <w:r>
        <w:rPr>
          <w:rFonts w:ascii="Arial" w:cs="Arial" w:eastAsia="Arial" w:hAnsi="Arial"/>
          <w:color w:val="2C3E50"/>
          <w:sz w:val="20"/>
          <w:szCs w:val="20"/>
        </w:rPr>
        <w:t xml:space="preserve">Graphe comparatif : bar chart des 3 axes (min / moy / max)</w:t>
      </w:r>
    </w:p>
    <w:p>
      <w:pPr>
        <w:pStyle w:val="ListParagraph"/>
        <w:numPr>
          <w:ilvl w:val="0"/>
          <w:numId w:val="2"/>
        </w:numPr>
        <w:spacing w:after="100"/>
      </w:pPr>
      <w:r>
        <w:rPr>
          <w:rFonts w:ascii="Arial" w:cs="Arial" w:eastAsia="Arial" w:hAnsi="Arial"/>
          <w:color w:val="2C3E50"/>
          <w:sz w:val="20"/>
          <w:szCs w:val="20"/>
        </w:rPr>
        <w:t xml:space="preserve">Heatmap 7×24 : niveau de congestion par jour de semaine et heure (grille 168 cellules)</w:t>
      </w:r>
    </w:p>
    <w:p>
      <w:pPr>
        <w:pStyle w:val="ListParagraph"/>
        <w:numPr>
          <w:ilvl w:val="0"/>
          <w:numId w:val="2"/>
        </w:numPr>
        <w:spacing w:after="100"/>
      </w:pPr>
      <w:r>
        <w:rPr>
          <w:rFonts w:ascii="Arial" w:cs="Arial" w:eastAsia="Arial" w:hAnsi="Arial"/>
          <w:color w:val="2C3E50"/>
          <w:sz w:val="20"/>
          <w:szCs w:val="20"/>
        </w:rPr>
        <w:t xml:space="preserve">Donut de répartition : distribution Fluide / Modéré / Dense / Congestionné</w:t>
      </w:r>
    </w:p>
    <w:p>
      <w:pPr>
        <w:pStyle w:val="ListParagraph"/>
        <w:numPr>
          <w:ilvl w:val="0"/>
          <w:numId w:val="2"/>
        </w:numPr>
        <w:spacing w:after="100"/>
      </w:pPr>
      <w:r>
        <w:rPr>
          <w:rFonts w:ascii="Arial" w:cs="Arial" w:eastAsia="Arial" w:hAnsi="Arial"/>
          <w:color w:val="2C3E50"/>
          <w:sz w:val="20"/>
          <w:szCs w:val="20"/>
        </w:rPr>
        <w:t xml:space="preserve">Filtres : source (collecte_auto live vs mesures historiques), période (tous / ouvrable / week-end), axe</w:t>
      </w:r>
    </w:p>
    <w:p>
      <w:pPr>
        <w:pStyle w:val="Heading2"/>
        <w:spacing w:after="160" w:before="280"/>
      </w:pPr>
      <w:r>
        <w:rPr>
          <w:rFonts w:ascii="Arial" w:cs="Arial" w:eastAsia="Arial" w:hAnsi="Arial"/>
          <w:b/>
          <w:bCs/>
          <w:color w:val="2874A6"/>
          <w:sz w:val="26"/>
          <w:szCs w:val="26"/>
        </w:rPr>
        <w:t xml:space="preserve">4.3 Module de prédiction ML (AlertesPredictives, usePredictions)</w:t>
      </w:r>
    </w:p>
    <w:p>
      <w:pPr>
        <w:pStyle w:val="ListParagraph"/>
        <w:numPr>
          <w:ilvl w:val="0"/>
          <w:numId w:val="2"/>
        </w:numPr>
        <w:spacing w:after="100"/>
      </w:pPr>
      <w:r>
        <w:rPr>
          <w:rFonts w:ascii="Arial" w:cs="Arial" w:eastAsia="Arial" w:hAnsi="Arial"/>
          <w:color w:val="2C3E50"/>
          <w:sz w:val="20"/>
          <w:szCs w:val="20"/>
        </w:rPr>
        <w:t xml:space="preserve">Chargement du fichier predictions.json généré par le modèle Random Forest</w:t>
      </w:r>
    </w:p>
    <w:p>
      <w:pPr>
        <w:pStyle w:val="ListParagraph"/>
        <w:numPr>
          <w:ilvl w:val="0"/>
          <w:numId w:val="2"/>
        </w:numPr>
        <w:spacing w:after="100"/>
      </w:pPr>
      <w:r>
        <w:rPr>
          <w:rFonts w:ascii="Arial" w:cs="Arial" w:eastAsia="Arial" w:hAnsi="Arial"/>
          <w:color w:val="2C3E50"/>
          <w:sz w:val="20"/>
          <w:szCs w:val="20"/>
        </w:rPr>
        <w:t xml:space="preserve">Affichage des prévisions pour le jour courant : niveau prévu, confiance, temps estimé</w:t>
      </w:r>
    </w:p>
    <w:p>
      <w:pPr>
        <w:pStyle w:val="ListParagraph"/>
        <w:numPr>
          <w:ilvl w:val="0"/>
          <w:numId w:val="2"/>
        </w:numPr>
        <w:spacing w:after="100"/>
      </w:pPr>
      <w:r>
        <w:rPr>
          <w:rFonts w:ascii="Arial" w:cs="Arial" w:eastAsia="Arial" w:hAnsi="Arial"/>
          <w:color w:val="2C3E50"/>
          <w:sz w:val="20"/>
          <w:szCs w:val="20"/>
        </w:rPr>
        <w:t xml:space="preserve">Marqueurs de prévision sur la carte (mode Prévisions ML)</w:t>
      </w:r>
    </w:p>
    <w:p>
      <w:pPr>
        <w:pStyle w:val="ListParagraph"/>
        <w:numPr>
          <w:ilvl w:val="0"/>
          <w:numId w:val="2"/>
        </w:numPr>
        <w:spacing w:after="100"/>
      </w:pPr>
      <w:r>
        <w:rPr>
          <w:rFonts w:ascii="Arial" w:cs="Arial" w:eastAsia="Arial" w:hAnsi="Arial"/>
          <w:color w:val="2C3E50"/>
          <w:sz w:val="20"/>
          <w:szCs w:val="20"/>
        </w:rPr>
        <w:t xml:space="preserve">Blôc récapitulatif PrevisionRecap des créneaux à risque</w:t>
      </w:r>
    </w:p>
    <w:p>
      <w:pPr>
        <w:pStyle w:val="Heading2"/>
        <w:spacing w:after="160" w:before="280"/>
      </w:pPr>
      <w:r>
        <w:rPr>
          <w:rFonts w:ascii="Arial" w:cs="Arial" w:eastAsia="Arial" w:hAnsi="Arial"/>
          <w:b/>
          <w:bCs/>
          <w:color w:val="2874A6"/>
          <w:sz w:val="26"/>
          <w:szCs w:val="26"/>
        </w:rPr>
        <w:t xml:space="preserve">4.4 Interface administrateur (AdminPage.jsx)</w:t>
      </w:r>
    </w:p>
    <w:p>
      <w:pPr>
        <w:pStyle w:val="ListParagraph"/>
        <w:numPr>
          <w:ilvl w:val="0"/>
          <w:numId w:val="2"/>
        </w:numPr>
        <w:spacing w:after="100"/>
      </w:pPr>
      <w:r>
        <w:rPr>
          <w:rFonts w:ascii="Arial" w:cs="Arial" w:eastAsia="Arial" w:hAnsi="Arial"/>
          <w:color w:val="2C3E50"/>
          <w:sz w:val="20"/>
          <w:szCs w:val="20"/>
        </w:rPr>
        <w:t xml:space="preserve">Création, édition et suppression d’axes avec éditeur de coordonnées sur carte</w:t>
      </w:r>
    </w:p>
    <w:p>
      <w:pPr>
        <w:pStyle w:val="ListParagraph"/>
        <w:numPr>
          <w:ilvl w:val="0"/>
          <w:numId w:val="2"/>
        </w:numPr>
        <w:spacing w:after="100"/>
      </w:pPr>
      <w:r>
        <w:rPr>
          <w:rFonts w:ascii="Arial" w:cs="Arial" w:eastAsia="Arial" w:hAnsi="Arial"/>
          <w:color w:val="2C3E50"/>
          <w:sz w:val="20"/>
          <w:szCs w:val="20"/>
        </w:rPr>
        <w:t xml:space="preserve">Gestion des tronçons (sous-segments) : CRUD complet avec positionnement cartographique</w:t>
      </w:r>
    </w:p>
    <w:p>
      <w:pPr>
        <w:pStyle w:val="ListParagraph"/>
        <w:numPr>
          <w:ilvl w:val="0"/>
          <w:numId w:val="2"/>
        </w:numPr>
        <w:spacing w:after="100"/>
      </w:pPr>
      <w:r>
        <w:rPr>
          <w:rFonts w:ascii="Arial" w:cs="Arial" w:eastAsia="Arial" w:hAnsi="Arial"/>
          <w:color w:val="2C3E50"/>
          <w:sz w:val="20"/>
          <w:szCs w:val="20"/>
        </w:rPr>
        <w:t xml:space="preserve">Définition des seuils d’alerte orange et rouge par axe (collection flowport_seuils)</w:t>
      </w:r>
    </w:p>
    <w:p>
      <w:pPr>
        <w:pStyle w:val="ListParagraph"/>
        <w:numPr>
          <w:ilvl w:val="0"/>
          <w:numId w:val="2"/>
        </w:numPr>
        <w:spacing w:after="100"/>
      </w:pPr>
      <w:r>
        <w:rPr>
          <w:rFonts w:ascii="Arial" w:cs="Arial" w:eastAsia="Arial" w:hAnsi="Arial"/>
          <w:color w:val="2C3E50"/>
          <w:sz w:val="20"/>
          <w:szCs w:val="20"/>
        </w:rPr>
        <w:t xml:space="preserve">Gestion des utilisateurs : lister, créer, éditer rôle, supprimer, envoyer un lien de réinitialisation</w:t>
      </w:r>
    </w:p>
    <w:p>
      <w:pPr>
        <w:pStyle w:val="ListParagraph"/>
        <w:numPr>
          <w:ilvl w:val="0"/>
          <w:numId w:val="2"/>
        </w:numPr>
        <w:spacing w:after="100"/>
      </w:pPr>
      <w:r>
        <w:rPr>
          <w:rFonts w:ascii="Arial" w:cs="Arial" w:eastAsia="Arial" w:hAnsi="Arial"/>
          <w:color w:val="2C3E50"/>
          <w:sz w:val="20"/>
          <w:szCs w:val="20"/>
        </w:rPr>
        <w:t xml:space="preserve">Calcul automatisé des routes via TomTom ou OSRM depuis l’interface d’administration</w:t>
      </w:r>
    </w:p>
    <w:p>
      <w:pPr>
        <w:pStyle w:val="ListParagraph"/>
        <w:numPr>
          <w:ilvl w:val="0"/>
          <w:numId w:val="2"/>
        </w:numPr>
        <w:spacing w:after="100"/>
      </w:pPr>
      <w:r>
        <w:rPr>
          <w:rFonts w:ascii="Arial" w:cs="Arial" w:eastAsia="Arial" w:hAnsi="Arial"/>
          <w:color w:val="2C3E50"/>
          <w:sz w:val="20"/>
          <w:szCs w:val="20"/>
        </w:rPr>
        <w:t xml:space="preserve">Synchronisation des axes par défaut depuis defaultData.js vers Firestore</w:t>
      </w:r>
    </w:p>
    <w:p>
      <w:pPr>
        <w:pStyle w:val="Heading2"/>
        <w:spacing w:after="160" w:before="280"/>
      </w:pPr>
      <w:r>
        <w:rPr>
          <w:rFonts w:ascii="Arial" w:cs="Arial" w:eastAsia="Arial" w:hAnsi="Arial"/>
          <w:b/>
          <w:bCs/>
          <w:color w:val="2874A6"/>
          <w:sz w:val="26"/>
          <w:szCs w:val="26"/>
        </w:rPr>
        <w:t xml:space="preserve">4.5 Assistant IA (IAPage.jsx)</w:t>
      </w:r>
    </w:p>
    <w:p>
      <w:pPr>
        <w:pStyle w:val="ListParagraph"/>
        <w:numPr>
          <w:ilvl w:val="0"/>
          <w:numId w:val="2"/>
        </w:numPr>
        <w:spacing w:after="100"/>
      </w:pPr>
      <w:r>
        <w:rPr>
          <w:rFonts w:ascii="Arial" w:cs="Arial" w:eastAsia="Arial" w:hAnsi="Arial"/>
          <w:color w:val="2C3E50"/>
          <w:sz w:val="20"/>
          <w:szCs w:val="20"/>
        </w:rPr>
        <w:t xml:space="preserve">Interface de chat multi-tours avec mémoire de session (sessionStorage)</w:t>
      </w:r>
    </w:p>
    <w:p>
      <w:pPr>
        <w:pStyle w:val="ListParagraph"/>
        <w:numPr>
          <w:ilvl w:val="0"/>
          <w:numId w:val="2"/>
        </w:numPr>
        <w:spacing w:after="100"/>
      </w:pPr>
      <w:r>
        <w:rPr>
          <w:rFonts w:ascii="Arial" w:cs="Arial" w:eastAsia="Arial" w:hAnsi="Arial"/>
          <w:color w:val="2C3E50"/>
          <w:sz w:val="20"/>
          <w:szCs w:val="20"/>
        </w:rPr>
        <w:t xml:space="preserve">Contexte trafic injecté automatiquement dans chaque question (mesures courantes + KPIs)</w:t>
      </w:r>
    </w:p>
    <w:p>
      <w:pPr>
        <w:pStyle w:val="ListParagraph"/>
        <w:numPr>
          <w:ilvl w:val="0"/>
          <w:numId w:val="2"/>
        </w:numPr>
        <w:spacing w:after="100"/>
      </w:pPr>
      <w:r>
        <w:rPr>
          <w:rFonts w:ascii="Arial" w:cs="Arial" w:eastAsia="Arial" w:hAnsi="Arial"/>
          <w:color w:val="2C3E50"/>
          <w:sz w:val="20"/>
          <w:szCs w:val="20"/>
        </w:rPr>
        <w:t xml:space="preserve">Spécialisé sur le vocabulaire opérationnel portuaire (rotations, terminaux, portiques)</w:t>
      </w:r>
    </w:p>
    <w:p>
      <w:pPr>
        <w:pStyle w:val="ListParagraph"/>
        <w:numPr>
          <w:ilvl w:val="0"/>
          <w:numId w:val="2"/>
        </w:numPr>
        <w:spacing w:after="100"/>
      </w:pPr>
      <w:r>
        <w:rPr>
          <w:rFonts w:ascii="Arial" w:cs="Arial" w:eastAsia="Arial" w:hAnsi="Arial"/>
          <w:color w:val="2C3E50"/>
          <w:sz w:val="20"/>
          <w:szCs w:val="20"/>
        </w:rPr>
        <w:t xml:space="preserve">Moteur : Google Gemini 2.5 Flash Lite via l’API REST generativelanguage.googleapis.com</w:t>
      </w:r>
    </w:p>
    <w:p>
      <w:pPr>
        <w:pStyle w:val="Heading2"/>
        <w:spacing w:after="160" w:before="280"/>
      </w:pPr>
      <w:r>
        <w:rPr>
          <w:rFonts w:ascii="Arial" w:cs="Arial" w:eastAsia="Arial" w:hAnsi="Arial"/>
          <w:b/>
          <w:bCs/>
          <w:color w:val="2874A6"/>
          <w:sz w:val="26"/>
          <w:szCs w:val="26"/>
        </w:rPr>
        <w:t xml:space="preserve">4.6 Export de données (ExportPage.jsx, RapportsPage.jsx)</w:t>
      </w:r>
    </w:p>
    <w:p>
      <w:pPr>
        <w:pStyle w:val="ListParagraph"/>
        <w:numPr>
          <w:ilvl w:val="0"/>
          <w:numId w:val="2"/>
        </w:numPr>
        <w:spacing w:after="100"/>
      </w:pPr>
      <w:r>
        <w:rPr>
          <w:rFonts w:ascii="Arial" w:cs="Arial" w:eastAsia="Arial" w:hAnsi="Arial"/>
          <w:color w:val="2C3E50"/>
          <w:sz w:val="20"/>
          <w:szCs w:val="20"/>
        </w:rPr>
        <w:t xml:space="preserve">Téléchargement de mesures_live en CSV ou Excel (xlsx)</w:t>
      </w:r>
    </w:p>
    <w:p>
      <w:pPr>
        <w:pStyle w:val="ListParagraph"/>
        <w:numPr>
          <w:ilvl w:val="0"/>
          <w:numId w:val="2"/>
        </w:numPr>
        <w:spacing w:after="100"/>
      </w:pPr>
      <w:r>
        <w:rPr>
          <w:rFonts w:ascii="Arial" w:cs="Arial" w:eastAsia="Arial" w:hAnsi="Arial"/>
          <w:color w:val="2C3E50"/>
          <w:sz w:val="20"/>
          <w:szCs w:val="20"/>
        </w:rPr>
        <w:t xml:space="preserve">Génération de rapports périodiques (quotidien / hebdomadaire / mensuel)</w:t>
      </w:r>
    </w:p>
    <w:p>
      <w:pPr>
        <w:pStyle w:val="ListParagraph"/>
        <w:numPr>
          <w:ilvl w:val="0"/>
          <w:numId w:val="2"/>
        </w:numPr>
        <w:spacing w:after="100"/>
      </w:pPr>
      <w:r>
        <w:rPr>
          <w:rFonts w:ascii="Arial" w:cs="Arial" w:eastAsia="Arial" w:hAnsi="Arial"/>
          <w:color w:val="2C3E50"/>
          <w:sz w:val="20"/>
          <w:szCs w:val="20"/>
        </w:rPr>
        <w:t xml:space="preserve">Export des données historiques de collecte_auto</w:t>
      </w:r>
    </w:p>
    <w:p>
      <w:r>
        <w:br w:type="page"/>
      </w:r>
    </w:p>
    <w:p>
      <w:pPr>
        <w:pStyle w:val="Heading1"/>
        <w:spacing w:after="200" w:before="360"/>
      </w:pPr>
      <w:r>
        <w:rPr>
          <w:rFonts w:ascii="Arial" w:cs="Arial" w:eastAsia="Arial" w:hAnsi="Arial"/>
          <w:b/>
          <w:bCs/>
          <w:color w:val="1B4F8A"/>
          <w:sz w:val="32"/>
          <w:szCs w:val="32"/>
        </w:rPr>
        <w:t xml:space="preserve">5. Indicateurs développés</w:t>
      </w:r>
    </w:p>
    <w:p>
      <w:pPr>
        <w:pBdr>
          <w:bottom w:val="single" w:color="1B4F8A" w:sz="4" w:space="1"/>
        </w:pBdr>
        <w:spacing w:after="240"/>
      </w:pPr>
    </w:p>
    <w:p>
      <w:pPr>
        <w:spacing w:after="160" w:line="280"/>
        <w:jc w:val="left"/>
      </w:pPr>
      <w:r>
        <w:rPr>
          <w:rFonts w:ascii="Arial" w:cs="Arial" w:eastAsia="Arial" w:hAnsi="Arial"/>
          <w:b w:val="false"/>
          <w:bCs w:val="false"/>
          <w:i w:val="false"/>
          <w:iCs w:val="false"/>
          <w:color w:val="2C3E50"/>
          <w:sz w:val="22"/>
          <w:szCs w:val="22"/>
        </w:rPr>
        <w:t xml:space="preserve">La grille d’indicateurs implémentée dans le code source (src/services/indicators.js et collector/collecte.js) couvre les indicateurs suivants :</w:t>
      </w:r>
    </w:p>
    <w:p>
      <w:pPr>
        <w:pStyle w:val="Heading2"/>
        <w:spacing w:after="160" w:before="280"/>
      </w:pPr>
      <w:r>
        <w:rPr>
          <w:rFonts w:ascii="Arial" w:cs="Arial" w:eastAsia="Arial" w:hAnsi="Arial"/>
          <w:b/>
          <w:bCs/>
          <w:color w:val="2874A6"/>
          <w:sz w:val="26"/>
          <w:szCs w:val="26"/>
        </w:rPr>
        <w:t xml:space="preserve">5.1 Indicateurs par mesure (I1–I7)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500"/>
        <w:gridCol w:w="2126"/>
      </w:tblGrid>
      <w:tr>
        <w:tc>
          <w:tcPr>
            <w:tcW w:type="dxa" w:w="9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Indicateur</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Nom</w:t>
            </w:r>
          </w:p>
        </w:tc>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Calcul / Source</w:t>
            </w:r>
          </w:p>
        </w:tc>
        <w:tc>
          <w:tcPr>
            <w:tcW w:type="dxa" w:w="21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Disponible</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I1</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de parcours live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réel TomTom (minutes)</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I2</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de référence horaire</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Valeur de référence par axe, sens et heure</w:t>
            </w:r>
          </w:p>
        </w:tc>
        <w:tc>
          <w:tcPr>
            <w:tcW w:type="dxa" w:w="21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I3</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Retard en minutes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I1 − I2</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I4</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de dégradation</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I1 / I2</w:t>
            </w:r>
          </w:p>
        </w:tc>
        <w:tc>
          <w:tcPr>
            <w:tcW w:type="dxa" w:w="21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I5</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Vitesse estimée (km/h)</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(dist_km / temps_min) × 60</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I6</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Débit (non implémenté)</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Nécessite capteurs physiques</w:t>
            </w:r>
          </w:p>
        </w:tc>
        <w:tc>
          <w:tcPr>
            <w:tcW w:type="dxa" w:w="21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Prévu, non disponible</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I7</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Niveau de congestion</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Classification 1–5 depuis ratio I4</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bl>
    <w:p>
      <w:pPr>
        <w:spacing w:after="200"/>
      </w:pPr>
    </w:p>
    <w:p>
      <w:pPr>
        <w:pStyle w:val="Heading2"/>
        <w:spacing w:after="160" w:before="280"/>
      </w:pPr>
      <w:r>
        <w:rPr>
          <w:rFonts w:ascii="Arial" w:cs="Arial" w:eastAsia="Arial" w:hAnsi="Arial"/>
          <w:b/>
          <w:bCs/>
          <w:color w:val="2874A6"/>
          <w:sz w:val="26"/>
          <w:szCs w:val="26"/>
        </w:rPr>
        <w:t xml:space="preserve">5.2 Indicateurs globaux (I8–I10)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500"/>
        <w:gridCol w:w="2126"/>
      </w:tblGrid>
      <w:tr>
        <w:tc>
          <w:tcPr>
            <w:tcW w:type="dxa" w:w="9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Indicateur</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Nom</w:t>
            </w:r>
          </w:p>
        </w:tc>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Calcul</w:t>
            </w:r>
          </w:p>
        </w:tc>
        <w:tc>
          <w:tcPr>
            <w:tcW w:type="dxa" w:w="21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Disponible</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I8</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Tronçon critique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avec le niveau I7 le plus élevé</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 (niveau axe, pas segment)</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I9</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Niveau global pondéré</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Moyenne des niveaux I7 pondérée par la distance</w:t>
            </w:r>
          </w:p>
        </w:tc>
        <w:tc>
          <w:tcPr>
            <w:tcW w:type="dxa" w:w="21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I10</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axes congestionnés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Part des axes avec I7 ≥ 4</w:t>
            </w:r>
          </w:p>
        </w:tc>
        <w:tc>
          <w:tcPr>
            <w:tcW w:type="dxa" w:w="21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Implémenté</w:t>
            </w:r>
          </w:p>
        </w:tc>
      </w:tr>
    </w:tbl>
    <w:p>
      <w:pPr>
        <w:spacing w:after="200"/>
      </w:pPr>
    </w:p>
    <w:p>
      <w:pPr>
        <w:pStyle w:val="Heading2"/>
        <w:spacing w:after="160" w:before="280"/>
      </w:pPr>
      <w:r>
        <w:rPr>
          <w:rFonts w:ascii="Arial" w:cs="Arial" w:eastAsia="Arial" w:hAnsi="Arial"/>
          <w:b/>
          <w:bCs/>
          <w:color w:val="2874A6"/>
          <w:sz w:val="26"/>
          <w:szCs w:val="26"/>
        </w:rPr>
        <w:t xml:space="preserve">5.3 Indicateurs I11–I15 — Statut</w:t>
      </w:r>
    </w:p>
    <w:p>
      <w:pPr>
        <w:spacing w:after="160" w:line="280"/>
        <w:jc w:val="left"/>
      </w:pPr>
      <w:r>
        <w:rPr>
          <w:rFonts w:ascii="Arial" w:cs="Arial" w:eastAsia="Arial" w:hAnsi="Arial"/>
          <w:b w:val="false"/>
          <w:bCs w:val="false"/>
          <w:i/>
          <w:iCs/>
          <w:color w:val="7F8C8D"/>
          <w:sz w:val="22"/>
          <w:szCs w:val="22"/>
        </w:rPr>
        <w:t xml:space="preserve">Note : les indicateurs I11 à I15 figuraient dans la feuille de route initiale du projet. Une revue du code source (src/services/indicators.js, collector/collecte.js, src/hooks/useTrafficData.js) n’a pas identifié d’implémentation de ces cinq indicateurs. Ils sont classés « prévus, non implémentés » dans la version actuelle du prototype.</w:t>
      </w:r>
    </w:p>
    <w:p>
      <w:pPr>
        <w:pStyle w:val="Heading2"/>
        <w:spacing w:after="160" w:before="280"/>
      </w:pPr>
      <w:r>
        <w:rPr>
          <w:rFonts w:ascii="Arial" w:cs="Arial" w:eastAsia="Arial" w:hAnsi="Arial"/>
          <w:b/>
          <w:bCs/>
          <w:color w:val="2874A6"/>
          <w:sz w:val="26"/>
          <w:szCs w:val="26"/>
        </w:rPr>
        <w:t xml:space="preserve">5.4 Niveaux de congestion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500"/>
        <w:gridCol w:w="3826"/>
      </w:tblGrid>
      <w:tr>
        <w:tc>
          <w:tcPr>
            <w:tcW w:type="dxa" w:w="9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Niveau</w:t>
            </w:r>
          </w:p>
        </w:tc>
        <w:tc>
          <w:tcPr>
            <w:tcW w:type="dxa" w:w="18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Label</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Plage de ratio</w:t>
            </w:r>
          </w:p>
        </w:tc>
        <w:tc>
          <w:tcPr>
            <w:tcW w:type="dxa" w:w="38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Couleur</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N1</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Fluide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 1,10</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#1E8449 (vert foncé)</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N2</w:t>
            </w:r>
          </w:p>
        </w:tc>
        <w:tc>
          <w:tcPr>
            <w:tcW w:type="dxa" w:w="1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Bon</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1,10 &lt; ratio ≤ 1,25</w:t>
            </w:r>
          </w:p>
        </w:tc>
        <w:tc>
          <w:tcPr>
            <w:tcW w:type="dxa" w:w="3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#27AE60 (vert)</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N3</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Ralenti</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1,25 &lt; ratio ≤ 1,50</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#F1C40F (jaune)</w:t>
            </w:r>
          </w:p>
        </w:tc>
      </w:tr>
      <w:tr>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N4</w:t>
            </w:r>
          </w:p>
        </w:tc>
        <w:tc>
          <w:tcPr>
            <w:tcW w:type="dxa" w:w="1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Congestionné</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1,50 &lt; ratio ≤ 2,00</w:t>
            </w:r>
          </w:p>
        </w:tc>
        <w:tc>
          <w:tcPr>
            <w:tcW w:type="dxa" w:w="3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#E67E22 (orange)</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N5</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Très congestionné</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&gt; 2,00</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#C0392B (rouge)</w:t>
            </w:r>
          </w:p>
        </w:tc>
      </w:tr>
    </w:tbl>
    <w:p>
      <w:r>
        <w:br w:type="page"/>
      </w:r>
    </w:p>
    <w:p>
      <w:pPr>
        <w:pStyle w:val="Heading1"/>
        <w:spacing w:after="200" w:before="360"/>
      </w:pPr>
      <w:r>
        <w:rPr>
          <w:rFonts w:ascii="Arial" w:cs="Arial" w:eastAsia="Arial" w:hAnsi="Arial"/>
          <w:b/>
          <w:bCs/>
          <w:color w:val="1B4F8A"/>
          <w:sz w:val="32"/>
          <w:szCs w:val="32"/>
        </w:rPr>
        <w:t xml:space="preserve">6. Modèle prédictif</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6.1 Approche et méthode</w:t>
      </w:r>
    </w:p>
    <w:p>
      <w:pPr>
        <w:spacing w:after="160" w:line="280"/>
        <w:jc w:val="left"/>
      </w:pPr>
      <w:r>
        <w:rPr>
          <w:rFonts w:ascii="Arial" w:cs="Arial" w:eastAsia="Arial" w:hAnsi="Arial"/>
          <w:b w:val="false"/>
          <w:bCs w:val="false"/>
          <w:i w:val="false"/>
          <w:iCs w:val="false"/>
          <w:color w:val="2C3E50"/>
          <w:sz w:val="22"/>
          <w:szCs w:val="22"/>
        </w:rPr>
        <w:t xml:space="preserve">Le modèle de prédiction est un classifieur Random Forest (RandomForestClassifier de scikit-learn) entraîné sur les données historiques de trafic collectées au PAA.</w:t>
      </w:r>
    </w:p>
    <w:p>
      <w:pPr>
        <w:pStyle w:val="Heading2"/>
        <w:spacing w:after="160" w:before="280"/>
      </w:pPr>
      <w:r>
        <w:rPr>
          <w:rFonts w:ascii="Arial" w:cs="Arial" w:eastAsia="Arial" w:hAnsi="Arial"/>
          <w:b/>
          <w:bCs/>
          <w:color w:val="2874A6"/>
          <w:sz w:val="26"/>
          <w:szCs w:val="26"/>
        </w:rPr>
        <w:t xml:space="preserve">6.2 Données d’entraînement</w:t>
      </w:r>
    </w:p>
    <w:p>
      <w:pPr>
        <w:pStyle w:val="ListParagraph"/>
        <w:numPr>
          <w:ilvl w:val="0"/>
          <w:numId w:val="2"/>
        </w:numPr>
        <w:spacing w:after="100"/>
      </w:pPr>
      <w:r>
        <w:rPr>
          <w:rFonts w:ascii="Arial" w:cs="Arial" w:eastAsia="Arial" w:hAnsi="Arial"/>
          <w:color w:val="2C3E50"/>
          <w:sz w:val="20"/>
          <w:szCs w:val="20"/>
        </w:rPr>
        <w:t xml:space="preserve">Source : portflow_mesures_normalisees.csv — données réelles collectées en février 2025</w:t>
      </w:r>
    </w:p>
    <w:p>
      <w:pPr>
        <w:pStyle w:val="ListParagraph"/>
        <w:numPr>
          <w:ilvl w:val="0"/>
          <w:numId w:val="2"/>
        </w:numPr>
        <w:spacing w:after="100"/>
      </w:pPr>
      <w:r>
        <w:rPr>
          <w:rFonts w:ascii="Arial" w:cs="Arial" w:eastAsia="Arial" w:hAnsi="Arial"/>
          <w:color w:val="2C3E50"/>
          <w:sz w:val="20"/>
          <w:szCs w:val="20"/>
        </w:rPr>
        <w:t xml:space="preserve">Volume : 2 016 mesures</w:t>
      </w:r>
    </w:p>
    <w:p>
      <w:pPr>
        <w:pStyle w:val="ListParagraph"/>
        <w:numPr>
          <w:ilvl w:val="0"/>
          <w:numId w:val="2"/>
        </w:numPr>
        <w:spacing w:after="100"/>
      </w:pPr>
      <w:r>
        <w:rPr>
          <w:rFonts w:ascii="Arial" w:cs="Arial" w:eastAsia="Arial" w:hAnsi="Arial"/>
          <w:color w:val="2C3E50"/>
          <w:sz w:val="20"/>
          <w:szCs w:val="20"/>
        </w:rPr>
        <w:t xml:space="preserve">Variables : [heure, jour_semaine, axe_enc, sens_enc]</w:t>
      </w:r>
    </w:p>
    <w:p>
      <w:pPr>
        <w:pStyle w:val="ListParagraph"/>
        <w:numPr>
          <w:ilvl w:val="0"/>
          <w:numId w:val="2"/>
        </w:numPr>
        <w:spacing w:after="100"/>
      </w:pPr>
      <w:r>
        <w:rPr>
          <w:rFonts w:ascii="Arial" w:cs="Arial" w:eastAsia="Arial" w:hAnsi="Arial"/>
          <w:color w:val="2C3E50"/>
          <w:sz w:val="20"/>
          <w:szCs w:val="20"/>
        </w:rPr>
        <w:t xml:space="preserve">Cible : niveau de congestion (1–5, calculé depuis ratio = temps_min / référence horaire)</w:t>
      </w:r>
    </w:p>
    <w:p>
      <w:pPr>
        <w:pStyle w:val="ListParagraph"/>
        <w:numPr>
          <w:ilvl w:val="0"/>
          <w:numId w:val="2"/>
        </w:numPr>
        <w:spacing w:after="100"/>
      </w:pPr>
      <w:r>
        <w:rPr>
          <w:rFonts w:ascii="Arial" w:cs="Arial" w:eastAsia="Arial" w:hAnsi="Arial"/>
          <w:color w:val="2C3E50"/>
          <w:sz w:val="20"/>
          <w:szCs w:val="20"/>
        </w:rPr>
        <w:t xml:space="preserve">Séparation : 80 % entraînement / 20 % test</w:t>
      </w:r>
    </w:p>
    <w:p>
      <w:pPr>
        <w:pStyle w:val="Heading2"/>
        <w:spacing w:after="160" w:before="280"/>
      </w:pPr>
      <w:r>
        <w:rPr>
          <w:rFonts w:ascii="Arial" w:cs="Arial" w:eastAsia="Arial" w:hAnsi="Arial"/>
          <w:b/>
          <w:bCs/>
          <w:color w:val="2874A6"/>
          <w:sz w:val="26"/>
          <w:szCs w:val="26"/>
        </w:rPr>
        <w:t xml:space="preserve">6.3 Paramètres du modèle</w:t>
      </w:r>
    </w:p>
    <w:p>
      <w:pPr>
        <w:pStyle w:val="ListParagraph"/>
        <w:numPr>
          <w:ilvl w:val="0"/>
          <w:numId w:val="2"/>
        </w:numPr>
        <w:spacing w:after="100"/>
      </w:pPr>
      <w:r>
        <w:rPr>
          <w:rFonts w:ascii="Arial" w:cs="Arial" w:eastAsia="Arial" w:hAnsi="Arial"/>
          <w:color w:val="2C3E50"/>
          <w:sz w:val="20"/>
          <w:szCs w:val="20"/>
        </w:rPr>
        <w:t xml:space="preserve">Type : RandomForestClassifier (scikit-learn)</w:t>
      </w:r>
    </w:p>
    <w:p>
      <w:pPr>
        <w:pStyle w:val="ListParagraph"/>
        <w:numPr>
          <w:ilvl w:val="0"/>
          <w:numId w:val="2"/>
        </w:numPr>
        <w:spacing w:after="100"/>
      </w:pPr>
      <w:r>
        <w:rPr>
          <w:rFonts w:ascii="Arial" w:cs="Arial" w:eastAsia="Arial" w:hAnsi="Arial"/>
          <w:color w:val="2C3E50"/>
          <w:sz w:val="20"/>
          <w:szCs w:val="20"/>
        </w:rPr>
        <w:t xml:space="preserve">Nombre d’estimateurs : 100 arbres</w:t>
      </w:r>
    </w:p>
    <w:p>
      <w:pPr>
        <w:pStyle w:val="ListParagraph"/>
        <w:numPr>
          <w:ilvl w:val="0"/>
          <w:numId w:val="2"/>
        </w:numPr>
        <w:spacing w:after="100"/>
      </w:pPr>
      <w:r>
        <w:rPr>
          <w:rFonts w:ascii="Arial" w:cs="Arial" w:eastAsia="Arial" w:hAnsi="Arial"/>
          <w:color w:val="2C3E50"/>
          <w:sz w:val="20"/>
          <w:szCs w:val="20"/>
        </w:rPr>
        <w:t xml:space="preserve">Profondeur maximale : 8 niveaux (max_depth=8)</w:t>
      </w:r>
    </w:p>
    <w:p>
      <w:pPr>
        <w:pStyle w:val="Heading2"/>
        <w:spacing w:after="160" w:before="280"/>
      </w:pPr>
      <w:r>
        <w:rPr>
          <w:rFonts w:ascii="Arial" w:cs="Arial" w:eastAsia="Arial" w:hAnsi="Arial"/>
          <w:b/>
          <w:bCs/>
          <w:color w:val="2874A6"/>
          <w:sz w:val="26"/>
          <w:szCs w:val="26"/>
        </w:rPr>
        <w:t xml:space="preserve">6.4 Résultats</w:t>
      </w:r>
    </w:p>
    <w:p>
      <w:pPr>
        <w:pStyle w:val="ListParagraph"/>
        <w:numPr>
          <w:ilvl w:val="0"/>
          <w:numId w:val="2"/>
        </w:numPr>
        <w:spacing w:after="100"/>
      </w:pPr>
      <w:r>
        <w:rPr>
          <w:rFonts w:ascii="Arial" w:cs="Arial" w:eastAsia="Arial" w:hAnsi="Arial"/>
          <w:color w:val="2C3E50"/>
          <w:sz w:val="20"/>
          <w:szCs w:val="20"/>
        </w:rPr>
        <w:t xml:space="preserve">Précision de classification (accuracy) : 79,18 %</w:t>
      </w:r>
    </w:p>
    <w:p>
      <w:pPr>
        <w:pStyle w:val="ListParagraph"/>
        <w:numPr>
          <w:ilvl w:val="0"/>
          <w:numId w:val="2"/>
        </w:numPr>
        <w:spacing w:after="100"/>
      </w:pPr>
      <w:r>
        <w:rPr>
          <w:rFonts w:ascii="Arial" w:cs="Arial" w:eastAsia="Arial" w:hAnsi="Arial"/>
          <w:color w:val="2C3E50"/>
          <w:sz w:val="20"/>
          <w:szCs w:val="20"/>
        </w:rPr>
        <w:t xml:space="preserve">Date d’entraînement : 19 juin 2026</w:t>
      </w:r>
    </w:p>
    <w:p>
      <w:pPr>
        <w:pStyle w:val="ListParagraph"/>
        <w:numPr>
          <w:ilvl w:val="0"/>
          <w:numId w:val="2"/>
        </w:numPr>
        <w:spacing w:after="100"/>
      </w:pPr>
      <w:r>
        <w:rPr>
          <w:rFonts w:ascii="Arial" w:cs="Arial" w:eastAsia="Arial" w:hAnsi="Arial"/>
          <w:color w:val="2C3E50"/>
          <w:sz w:val="20"/>
          <w:szCs w:val="20"/>
        </w:rPr>
        <w:t xml:space="preserve">Couverture des prédictions : 7 jours × 12 heures (7h–18h) × 3 axes × 2 sens = 1 400+ entrées</w:t>
      </w:r>
    </w:p>
    <w:p>
      <w:pPr>
        <w:pStyle w:val="ListParagraph"/>
        <w:numPr>
          <w:ilvl w:val="0"/>
          <w:numId w:val="2"/>
        </w:numPr>
        <w:spacing w:after="100"/>
      </w:pPr>
      <w:r>
        <w:rPr>
          <w:rFonts w:ascii="Arial" w:cs="Arial" w:eastAsia="Arial" w:hAnsi="Arial"/>
          <w:color w:val="2C3E50"/>
          <w:sz w:val="20"/>
          <w:szCs w:val="20"/>
        </w:rPr>
        <w:t xml:space="preserve">Format de sortie : { niveau_prevu, confiance_pct, temps_prevu_min } par clé {axeId}_{sens}_{jour}_{heure}h</w:t>
      </w:r>
    </w:p>
    <w:p>
      <w:pPr>
        <w:pStyle w:val="Heading2"/>
        <w:spacing w:after="160" w:before="280"/>
      </w:pPr>
      <w:r>
        <w:rPr>
          <w:rFonts w:ascii="Arial" w:cs="Arial" w:eastAsia="Arial" w:hAnsi="Arial"/>
          <w:b/>
          <w:bCs/>
          <w:color w:val="2874A6"/>
          <w:sz w:val="26"/>
          <w:szCs w:val="26"/>
        </w:rPr>
        <w:t xml:space="preserve">6.5 Limites du POC</w:t>
      </w:r>
    </w:p>
    <w:p>
      <w:pPr>
        <w:pStyle w:val="ListParagraph"/>
        <w:numPr>
          <w:ilvl w:val="0"/>
          <w:numId w:val="2"/>
        </w:numPr>
        <w:spacing w:after="100"/>
      </w:pPr>
      <w:r>
        <w:rPr>
          <w:rFonts w:ascii="Arial" w:cs="Arial" w:eastAsia="Arial" w:hAnsi="Arial"/>
          <w:color w:val="2C3E50"/>
          <w:sz w:val="20"/>
          <w:szCs w:val="20"/>
        </w:rPr>
        <w:t xml:space="preserve">Granularité axe uniquement : le modèle prédit au niveau de l’axe, pas des tronçons individuels</w:t>
      </w:r>
    </w:p>
    <w:p>
      <w:pPr>
        <w:pStyle w:val="ListParagraph"/>
        <w:numPr>
          <w:ilvl w:val="0"/>
          <w:numId w:val="2"/>
        </w:numPr>
        <w:spacing w:after="100"/>
      </w:pPr>
      <w:r>
        <w:rPr>
          <w:rFonts w:ascii="Arial" w:cs="Arial" w:eastAsia="Arial" w:hAnsi="Arial"/>
          <w:color w:val="2C3E50"/>
          <w:sz w:val="20"/>
          <w:szCs w:val="20"/>
        </w:rPr>
        <w:t xml:space="preserve">Période d’apprentissage limitée : un seul mois (février 2025), sans saisonnalité annuelle</w:t>
      </w:r>
    </w:p>
    <w:p>
      <w:pPr>
        <w:pStyle w:val="ListParagraph"/>
        <w:numPr>
          <w:ilvl w:val="0"/>
          <w:numId w:val="2"/>
        </w:numPr>
        <w:spacing w:after="100"/>
      </w:pPr>
      <w:r>
        <w:rPr>
          <w:rFonts w:ascii="Arial" w:cs="Arial" w:eastAsia="Arial" w:hAnsi="Arial"/>
          <w:color w:val="2C3E50"/>
          <w:sz w:val="20"/>
          <w:szCs w:val="20"/>
        </w:rPr>
        <w:t xml:space="preserve">Couverture horaire : 7h–18h uniquement (les prévisions nocturnes ne sont pas disponibles)</w:t>
      </w:r>
    </w:p>
    <w:p>
      <w:pPr>
        <w:pStyle w:val="ListParagraph"/>
        <w:numPr>
          <w:ilvl w:val="0"/>
          <w:numId w:val="2"/>
        </w:numPr>
        <w:spacing w:after="100"/>
      </w:pPr>
      <w:r>
        <w:rPr>
          <w:rFonts w:ascii="Arial" w:cs="Arial" w:eastAsia="Arial" w:hAnsi="Arial"/>
          <w:color w:val="2C3E50"/>
          <w:sz w:val="20"/>
          <w:szCs w:val="20"/>
        </w:rPr>
        <w:t xml:space="preserve">Enrichissement live : 0 enregistrement de collecte_auto intégré à ce jour (mécanisme prévu mais non activé en production)</w:t>
      </w:r>
    </w:p>
    <w:p>
      <w:pPr>
        <w:pStyle w:val="ListParagraph"/>
        <w:numPr>
          <w:ilvl w:val="0"/>
          <w:numId w:val="2"/>
        </w:numPr>
        <w:spacing w:after="100"/>
      </w:pPr>
      <w:r>
        <w:rPr>
          <w:rFonts w:ascii="Arial" w:cs="Arial" w:eastAsia="Arial" w:hAnsi="Arial"/>
          <w:color w:val="2C3E50"/>
          <w:sz w:val="20"/>
          <w:szCs w:val="20"/>
        </w:rPr>
        <w:t xml:space="preserve">Pas de réentraînement automatisé : le fichier predictions.json est statique et mis à jour manuellement</w:t>
      </w:r>
    </w:p>
    <w:p>
      <w:r>
        <w:br w:type="page"/>
      </w:r>
    </w:p>
    <w:p>
      <w:pPr>
        <w:pStyle w:val="Heading1"/>
        <w:spacing w:after="200" w:before="360"/>
      </w:pPr>
      <w:r>
        <w:rPr>
          <w:rFonts w:ascii="Arial" w:cs="Arial" w:eastAsia="Arial" w:hAnsi="Arial"/>
          <w:b/>
          <w:bCs/>
          <w:color w:val="1B4F8A"/>
          <w:sz w:val="32"/>
          <w:szCs w:val="32"/>
        </w:rPr>
        <w:t xml:space="preserve">7. Infrastructure et déploiement</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7.1 Firebase Hosting</w:t>
      </w:r>
    </w:p>
    <w:p>
      <w:pPr>
        <w:pStyle w:val="ListParagraph"/>
        <w:numPr>
          <w:ilvl w:val="0"/>
          <w:numId w:val="2"/>
        </w:numPr>
        <w:spacing w:after="100"/>
      </w:pPr>
      <w:r>
        <w:rPr>
          <w:rFonts w:ascii="Arial" w:cs="Arial" w:eastAsia="Arial" w:hAnsi="Arial"/>
          <w:color w:val="2C3E50"/>
          <w:sz w:val="20"/>
          <w:szCs w:val="20"/>
        </w:rPr>
        <w:t xml:space="preserve">Projet Firebase : portflow-46738 (région US par défaut)</w:t>
      </w:r>
    </w:p>
    <w:p>
      <w:pPr>
        <w:pStyle w:val="ListParagraph"/>
        <w:numPr>
          <w:ilvl w:val="0"/>
          <w:numId w:val="2"/>
        </w:numPr>
        <w:spacing w:after="100"/>
      </w:pPr>
      <w:r>
        <w:rPr>
          <w:rFonts w:ascii="Arial" w:cs="Arial" w:eastAsia="Arial" w:hAnsi="Arial"/>
          <w:color w:val="2C3E50"/>
          <w:sz w:val="20"/>
          <w:szCs w:val="20"/>
        </w:rPr>
        <w:t xml:space="preserve">Build de production : Vite (npm run build) → dossier dist/</w:t>
      </w:r>
    </w:p>
    <w:p>
      <w:pPr>
        <w:pStyle w:val="ListParagraph"/>
        <w:numPr>
          <w:ilvl w:val="0"/>
          <w:numId w:val="2"/>
        </w:numPr>
        <w:spacing w:after="100"/>
      </w:pPr>
      <w:r>
        <w:rPr>
          <w:rFonts w:ascii="Arial" w:cs="Arial" w:eastAsia="Arial" w:hAnsi="Arial"/>
          <w:color w:val="2C3E50"/>
          <w:sz w:val="20"/>
          <w:szCs w:val="20"/>
        </w:rPr>
        <w:t xml:space="preserve">Rewrite SPA : toutes les routes redirigées vers /index.html</w:t>
      </w:r>
    </w:p>
    <w:p>
      <w:pPr>
        <w:pStyle w:val="ListParagraph"/>
        <w:numPr>
          <w:ilvl w:val="0"/>
          <w:numId w:val="2"/>
        </w:numPr>
        <w:spacing w:after="100"/>
      </w:pPr>
      <w:r>
        <w:rPr>
          <w:rFonts w:ascii="Arial" w:cs="Arial" w:eastAsia="Arial" w:hAnsi="Arial"/>
          <w:color w:val="2C3E50"/>
          <w:sz w:val="20"/>
          <w:szCs w:val="20"/>
        </w:rPr>
        <w:t xml:space="preserve">URL de production : portflow-46738.web.app</w:t>
      </w:r>
    </w:p>
    <w:p>
      <w:pPr>
        <w:pStyle w:val="Heading2"/>
        <w:spacing w:after="160" w:before="280"/>
      </w:pPr>
      <w:r>
        <w:rPr>
          <w:rFonts w:ascii="Arial" w:cs="Arial" w:eastAsia="Arial" w:hAnsi="Arial"/>
          <w:b/>
          <w:bCs/>
          <w:color w:val="2874A6"/>
          <w:sz w:val="26"/>
          <w:szCs w:val="26"/>
        </w:rPr>
        <w:t xml:space="preserve">7.2 CI/CD —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026"/>
      </w:tblGrid>
      <w:tr>
        <w:tc>
          <w:tcPr>
            <w:tcW w:type="dxa" w:w="2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Workflow</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Fichier</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Déclencheur</w:t>
            </w:r>
          </w:p>
        </w:tc>
        <w:tc>
          <w:tcPr>
            <w:tcW w:type="dxa" w:w="20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Action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 auto</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collecte_auto.yml</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Cron */10 * * * * (toutes les 10 min)</w:t>
            </w:r>
          </w:p>
        </w:tc>
        <w:tc>
          <w:tcPr>
            <w:tcW w:type="dxa" w:w="2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node collector/collecte.js → écrit dans Firestore</w:t>
            </w:r>
          </w:p>
        </w:tc>
      </w:tr>
      <w:tr>
        <w:tc>
          <w:tcPr>
            <w:tcW w:type="dxa" w:w="2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Déploiement</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deploy-hosting.yml</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Push sur main + dispatch manuel</w:t>
            </w:r>
          </w:p>
        </w:tc>
        <w:tc>
          <w:tcPr>
            <w:tcW w:type="dxa" w:w="2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npm ci → vite build → firebase deploy --only hosting</w:t>
            </w:r>
          </w:p>
        </w:tc>
      </w:tr>
    </w:tbl>
    <w:p>
      <w:pPr>
        <w:spacing w:after="200"/>
      </w:pPr>
    </w:p>
    <w:p>
      <w:pPr>
        <w:pStyle w:val="Heading2"/>
        <w:spacing w:after="160" w:before="280"/>
      </w:pPr>
      <w:r>
        <w:rPr>
          <w:rFonts w:ascii="Arial" w:cs="Arial" w:eastAsia="Arial" w:hAnsi="Arial"/>
          <w:b/>
          <w:bCs/>
          <w:color w:val="2874A6"/>
          <w:sz w:val="26"/>
          <w:szCs w:val="26"/>
        </w:rPr>
        <w:t xml:space="preserve">7.3 Variables d’environnement (secrets GitHub)</w:t>
      </w:r>
    </w:p>
    <w:p>
      <w:pPr>
        <w:pStyle w:val="ListParagraph"/>
        <w:numPr>
          <w:ilvl w:val="0"/>
          <w:numId w:val="2"/>
        </w:numPr>
        <w:spacing w:after="100"/>
      </w:pPr>
      <w:r>
        <w:rPr>
          <w:rFonts w:ascii="Arial" w:cs="Arial" w:eastAsia="Arial" w:hAnsi="Arial"/>
          <w:color w:val="2C3E50"/>
          <w:sz w:val="20"/>
          <w:szCs w:val="20"/>
        </w:rPr>
        <w:t xml:space="preserve">VITE_FIREBASE_API_KEY, VITE_FIREBASE_AUTH_DOMAIN, VITE_FIREBASE_PROJECT_ID, VITE_FIREBASE_STORAGE_BUCKET, VITE_FIREBASE_MESSAGING_SENDER_ID, VITE_FIREBASE_APP_ID — injectées en clair dans le workflow de déploiement</w:t>
      </w:r>
    </w:p>
    <w:p>
      <w:pPr>
        <w:pStyle w:val="ListParagraph"/>
        <w:numPr>
          <w:ilvl w:val="0"/>
          <w:numId w:val="2"/>
        </w:numPr>
        <w:spacing w:after="100"/>
      </w:pPr>
      <w:r>
        <w:rPr>
          <w:rFonts w:ascii="Arial" w:cs="Arial" w:eastAsia="Arial" w:hAnsi="Arial"/>
          <w:color w:val="2C3E50"/>
          <w:sz w:val="20"/>
          <w:szCs w:val="20"/>
        </w:rPr>
        <w:t xml:space="preserve">VITE_TOMTOM_API_KEY, VITE_GEMINI_API_KEY, VITE_GOOGLE_MATRIX_API_KEY — stockées comme secrets GitHub chiffrés</w:t>
      </w:r>
    </w:p>
    <w:p>
      <w:pPr>
        <w:pStyle w:val="ListParagraph"/>
        <w:numPr>
          <w:ilvl w:val="0"/>
          <w:numId w:val="2"/>
        </w:numPr>
        <w:spacing w:after="100"/>
      </w:pPr>
      <w:r>
        <w:rPr>
          <w:rFonts w:ascii="Arial" w:cs="Arial" w:eastAsia="Arial" w:hAnsi="Arial"/>
          <w:color w:val="2C3E50"/>
          <w:sz w:val="20"/>
          <w:szCs w:val="20"/>
        </w:rPr>
        <w:t xml:space="preserve">TOMTOM_KEY, FIREBASE_API_KEY, GOOGLE_MATRIX_API_KEY — utilisées par le collecteur Node.js</w:t>
      </w:r>
    </w:p>
    <w:p>
      <w:pPr>
        <w:pStyle w:val="ListParagraph"/>
        <w:numPr>
          <w:ilvl w:val="0"/>
          <w:numId w:val="2"/>
        </w:numPr>
        <w:spacing w:after="100"/>
      </w:pPr>
      <w:r>
        <w:rPr>
          <w:rFonts w:ascii="Arial" w:cs="Arial" w:eastAsia="Arial" w:hAnsi="Arial"/>
          <w:color w:val="2C3E50"/>
          <w:sz w:val="20"/>
          <w:szCs w:val="20"/>
        </w:rPr>
        <w:t xml:space="preserve">FIREBASE_SERVICE_ACCOUNT_PORTFLOW_46738 — clé de compte de service JSON pour firebase-tools CLI</w:t>
      </w:r>
    </w:p>
    <w:p>
      <w:pPr>
        <w:pStyle w:val="Heading2"/>
        <w:spacing w:after="160" w:before="280"/>
      </w:pPr>
      <w:r>
        <w:rPr>
          <w:rFonts w:ascii="Arial" w:cs="Arial" w:eastAsia="Arial" w:hAnsi="Arial"/>
          <w:b/>
          <w:bCs/>
          <w:color w:val="2874A6"/>
          <w:sz w:val="26"/>
          <w:szCs w:val="26"/>
        </w:rPr>
        <w:t xml:space="preserve">7.4 Authentification</w:t>
      </w:r>
    </w:p>
    <w:p>
      <w:pPr>
        <w:pStyle w:val="ListParagraph"/>
        <w:numPr>
          <w:ilvl w:val="0"/>
          <w:numId w:val="2"/>
        </w:numPr>
        <w:spacing w:after="100"/>
      </w:pPr>
      <w:r>
        <w:rPr>
          <w:rFonts w:ascii="Arial" w:cs="Arial" w:eastAsia="Arial" w:hAnsi="Arial"/>
          <w:color w:val="2C3E50"/>
          <w:sz w:val="20"/>
          <w:szCs w:val="20"/>
        </w:rPr>
        <w:t xml:space="preserve">Méthode : Firebase Auth Email/Password</w:t>
      </w:r>
    </w:p>
    <w:p>
      <w:pPr>
        <w:pStyle w:val="ListParagraph"/>
        <w:numPr>
          <w:ilvl w:val="0"/>
          <w:numId w:val="2"/>
        </w:numPr>
        <w:spacing w:after="100"/>
      </w:pPr>
      <w:r>
        <w:rPr>
          <w:rFonts w:ascii="Arial" w:cs="Arial" w:eastAsia="Arial" w:hAnsi="Arial"/>
          <w:color w:val="2C3E50"/>
          <w:sz w:val="20"/>
          <w:szCs w:val="20"/>
        </w:rPr>
        <w:t xml:space="preserve">Rôles : admin ou public, stockés dans la collection Firestore users/{uid}</w:t>
      </w:r>
    </w:p>
    <w:p>
      <w:pPr>
        <w:pStyle w:val="ListParagraph"/>
        <w:numPr>
          <w:ilvl w:val="0"/>
          <w:numId w:val="2"/>
        </w:numPr>
        <w:spacing w:after="100"/>
      </w:pPr>
      <w:r>
        <w:rPr>
          <w:rFonts w:ascii="Arial" w:cs="Arial" w:eastAsia="Arial" w:hAnsi="Arial"/>
          <w:color w:val="2C3E50"/>
          <w:sz w:val="20"/>
          <w:szCs w:val="20"/>
        </w:rPr>
        <w:t xml:space="preserve">Premier utilisateur créé : promu automatiquement administrateur</w:t>
      </w:r>
    </w:p>
    <w:p>
      <w:pPr>
        <w:pStyle w:val="ListParagraph"/>
        <w:numPr>
          <w:ilvl w:val="0"/>
          <w:numId w:val="2"/>
        </w:numPr>
        <w:spacing w:after="100"/>
      </w:pPr>
      <w:r>
        <w:rPr>
          <w:rFonts w:ascii="Arial" w:cs="Arial" w:eastAsia="Arial" w:hAnsi="Arial"/>
          <w:color w:val="2C3E50"/>
          <w:sz w:val="20"/>
          <w:szCs w:val="20"/>
        </w:rPr>
        <w:t xml:space="preserve">Limitation : les rôles sont gérés en Firestore (pas en Custom Claims Firebase), ce qui impose une lecture Firestore à chaque connexion pour vérifier le rôle</w:t>
      </w:r>
    </w:p>
    <w:p>
      <w:pPr>
        <w:spacing w:after="160" w:line="280"/>
        <w:jc w:val="left"/>
      </w:pPr>
      <w:r>
        <w:rPr>
          <w:rFonts w:ascii="Arial" w:cs="Arial" w:eastAsia="Arial" w:hAnsi="Arial"/>
          <w:b w:val="false"/>
          <w:bCs w:val="false"/>
          <w:i/>
          <w:iCs/>
          <w:color w:val="7F8C8D"/>
          <w:sz w:val="22"/>
          <w:szCs w:val="22"/>
        </w:rPr>
        <w:t xml:space="preserve">Note sécurité : les règles Firestore (firestore.rules) sont actuellement permissives (allow read, write: if true). Pour un déploiement en production, il est indispensable de restreindre les écritures aux seuls utilisateurs authentifiés avec le rôle admin.</w:t>
      </w:r>
    </w:p>
    <w:p>
      <w:r>
        <w:br w:type="page"/>
      </w:r>
    </w:p>
    <w:p>
      <w:pPr>
        <w:pStyle w:val="Heading1"/>
        <w:spacing w:after="200" w:before="360"/>
      </w:pPr>
      <w:r>
        <w:rPr>
          <w:rFonts w:ascii="Arial" w:cs="Arial" w:eastAsia="Arial" w:hAnsi="Arial"/>
          <w:b/>
          <w:bCs/>
          <w:color w:val="1B4F8A"/>
          <w:sz w:val="32"/>
          <w:szCs w:val="32"/>
        </w:rPr>
        <w:t xml:space="preserve">8. Difficultés rencontrées et solutions apportées</w:t>
      </w:r>
    </w:p>
    <w:p>
      <w:pPr>
        <w:pBdr>
          <w:bottom w:val="single" w:color="1B4F8A" w:sz="4"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c>
          <w:tcPr>
            <w:tcW w:type="dxa" w:w="28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Problème rencontré</w:t>
            </w:r>
          </w:p>
        </w:tc>
        <w:tc>
          <w:tcPr>
            <w:tcW w:type="dxa" w:w="3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Cause identifiée</w:t>
            </w:r>
          </w:p>
        </w:tc>
        <w:tc>
          <w:tcPr>
            <w:tcW w:type="dxa" w:w="32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Solution implémentée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Modifications d’axes non persistantes en Firestore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computeAlts() réinitialisait selectedGeometry à null avant l’appel API ; setDoc sans {merge:true} supprimait geometryRoute</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Fallback effectiveGeometry = selectedGeometry ?? axe?.geometryRoute ?? null dans handleSubmit</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Graphiques statiques 7h–18h en dur</w:t>
            </w:r>
          </w:p>
        </w:tc>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aggregations.js générait un tableau de 12 éléments fixé à partir de 7</w:t>
            </w:r>
          </w:p>
        </w:tc>
        <w:tc>
          <w:tcPr>
            <w:tcW w:type="dxa" w:w="3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Array.from({ length: 24 }) pour couvrir 0h–23h</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KPIs ne changeaient plus après correction précédente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mesuresRef.hasRealFirestoreData bloquait la simulation mais Firestore avait des données obsolètes</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Suppression du bloc mesuresRef ; Firestore prend la main via onSnapshot, sinon simulation</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Badge « Simulation » indésirable sur le dashboard</w:t>
            </w:r>
          </w:p>
        </w:tc>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La simulation était activée dès l’échec TomTom, même avec des données Firestore disponibles</w:t>
            </w:r>
          </w:p>
        </w:tc>
        <w:tc>
          <w:tcPr>
            <w:tcW w:type="dxa" w:w="3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Suppression complète de la logique de simulation ; le hook utilise uniquement les données Firestore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Connexion Firebase CLI impossible interactivement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L’environnement sandbox bloque firebase login --no-localhost</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Déploiement via GitHub Actions avec GOOGLE_APPLICATION_CREDENTIALS (compte de service JSON)</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Erreur HTTP 400 « is the current active version »</w:t>
            </w:r>
          </w:p>
        </w:tc>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firebase-tools renvoyait code 1 même si la version déployée était déjà active</w:t>
            </w:r>
          </w:p>
        </w:tc>
        <w:tc>
          <w:tcPr>
            <w:tcW w:type="dxa" w:w="3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Détection grep -q dans le workflow pour traiter ce cas comme succès</w:t>
            </w:r>
          </w:p>
        </w:tc>
      </w:tr>
    </w:tbl>
    <w:p>
      <w:r>
        <w:br w:type="page"/>
      </w:r>
    </w:p>
    <w:p>
      <w:pPr>
        <w:pStyle w:val="Heading1"/>
        <w:spacing w:after="200" w:before="360"/>
      </w:pPr>
      <w:r>
        <w:rPr>
          <w:rFonts w:ascii="Arial" w:cs="Arial" w:eastAsia="Arial" w:hAnsi="Arial"/>
          <w:b/>
          <w:bCs/>
          <w:color w:val="1B4F8A"/>
          <w:sz w:val="32"/>
          <w:szCs w:val="32"/>
        </w:rPr>
        <w:t xml:space="preserve">9. Perspectives d’évolution</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9.1 Améliorations techniques prioritaires</w:t>
      </w:r>
    </w:p>
    <w:p>
      <w:pPr>
        <w:pStyle w:val="ListParagraph"/>
        <w:numPr>
          <w:ilvl w:val="0"/>
          <w:numId w:val="2"/>
        </w:numPr>
        <w:spacing w:after="100"/>
      </w:pPr>
      <w:r>
        <w:rPr>
          <w:rFonts w:ascii="Arial" w:cs="Arial" w:eastAsia="Arial" w:hAnsi="Arial"/>
          <w:color w:val="2C3E50"/>
          <w:sz w:val="20"/>
          <w:szCs w:val="20"/>
        </w:rPr>
        <w:t xml:space="preserve">Sécurisation des règles Firestore : restreindre les écritures aux seuls utilisateurs authentifiés admin</w:t>
      </w:r>
    </w:p>
    <w:p>
      <w:pPr>
        <w:pStyle w:val="ListParagraph"/>
        <w:numPr>
          <w:ilvl w:val="0"/>
          <w:numId w:val="2"/>
        </w:numPr>
        <w:spacing w:after="100"/>
      </w:pPr>
      <w:r>
        <w:rPr>
          <w:rFonts w:ascii="Arial" w:cs="Arial" w:eastAsia="Arial" w:hAnsi="Arial"/>
          <w:color w:val="2C3E50"/>
          <w:sz w:val="20"/>
          <w:szCs w:val="20"/>
        </w:rPr>
        <w:t xml:space="preserve">Indicateurs I11–I15 : implémenter les indicateurs manquants selon la grille initiale</w:t>
      </w:r>
    </w:p>
    <w:p>
      <w:pPr>
        <w:pStyle w:val="ListParagraph"/>
        <w:numPr>
          <w:ilvl w:val="0"/>
          <w:numId w:val="2"/>
        </w:numPr>
        <w:spacing w:after="100"/>
      </w:pPr>
      <w:r>
        <w:rPr>
          <w:rFonts w:ascii="Arial" w:cs="Arial" w:eastAsia="Arial" w:hAnsi="Arial"/>
          <w:color w:val="2C3E50"/>
          <w:sz w:val="20"/>
          <w:szCs w:val="20"/>
        </w:rPr>
        <w:t xml:space="preserve">Réentraînement automatisé du modèle ML : cron mensuel utilisant les nouvelles données de collecte_auto</w:t>
      </w:r>
    </w:p>
    <w:p>
      <w:pPr>
        <w:pStyle w:val="ListParagraph"/>
        <w:numPr>
          <w:ilvl w:val="0"/>
          <w:numId w:val="2"/>
        </w:numPr>
        <w:spacing w:after="100"/>
      </w:pPr>
      <w:r>
        <w:rPr>
          <w:rFonts w:ascii="Arial" w:cs="Arial" w:eastAsia="Arial" w:hAnsi="Arial"/>
          <w:color w:val="2C3E50"/>
          <w:sz w:val="20"/>
          <w:szCs w:val="20"/>
        </w:rPr>
        <w:t xml:space="preserve">Granularité segment : descendre le modèle prédictif au niveau des tronçons</w:t>
      </w:r>
    </w:p>
    <w:p>
      <w:pPr>
        <w:pStyle w:val="ListParagraph"/>
        <w:numPr>
          <w:ilvl w:val="0"/>
          <w:numId w:val="2"/>
        </w:numPr>
        <w:spacing w:after="100"/>
      </w:pPr>
      <w:r>
        <w:rPr>
          <w:rFonts w:ascii="Arial" w:cs="Arial" w:eastAsia="Arial" w:hAnsi="Arial"/>
          <w:color w:val="2C3E50"/>
          <w:sz w:val="20"/>
          <w:szCs w:val="20"/>
        </w:rPr>
        <w:t xml:space="preserve">Couverture horaire ML : étendre les prédictions à l’ensemble des 24 heures</w:t>
      </w:r>
    </w:p>
    <w:p>
      <w:pPr>
        <w:pStyle w:val="Heading2"/>
        <w:spacing w:after="160" w:before="280"/>
      </w:pPr>
      <w:r>
        <w:rPr>
          <w:rFonts w:ascii="Arial" w:cs="Arial" w:eastAsia="Arial" w:hAnsi="Arial"/>
          <w:b/>
          <w:bCs/>
          <w:color w:val="2874A6"/>
          <w:sz w:val="26"/>
          <w:szCs w:val="26"/>
        </w:rPr>
        <w:t xml:space="preserve">9.2 Fonctionnalités à ajouter</w:t>
      </w:r>
    </w:p>
    <w:p>
      <w:pPr>
        <w:pStyle w:val="ListParagraph"/>
        <w:numPr>
          <w:ilvl w:val="0"/>
          <w:numId w:val="2"/>
        </w:numPr>
        <w:spacing w:after="100"/>
      </w:pPr>
      <w:r>
        <w:rPr>
          <w:rFonts w:ascii="Arial" w:cs="Arial" w:eastAsia="Arial" w:hAnsi="Arial"/>
          <w:color w:val="2C3E50"/>
          <w:sz w:val="20"/>
          <w:szCs w:val="20"/>
        </w:rPr>
        <w:t xml:space="preserve">Notifications push (Firebase Cloud Messaging) lors du passage en N4–N5</w:t>
      </w:r>
    </w:p>
    <w:p>
      <w:pPr>
        <w:pStyle w:val="ListParagraph"/>
        <w:numPr>
          <w:ilvl w:val="0"/>
          <w:numId w:val="2"/>
        </w:numPr>
        <w:spacing w:after="100"/>
      </w:pPr>
      <w:r>
        <w:rPr>
          <w:rFonts w:ascii="Arial" w:cs="Arial" w:eastAsia="Arial" w:hAnsi="Arial"/>
          <w:color w:val="2C3E50"/>
          <w:sz w:val="20"/>
          <w:szCs w:val="20"/>
        </w:rPr>
        <w:t xml:space="preserve">API publique REST pour intégration dans les systèmes opérationnels du PAA</w:t>
      </w:r>
    </w:p>
    <w:p>
      <w:pPr>
        <w:pStyle w:val="ListParagraph"/>
        <w:numPr>
          <w:ilvl w:val="0"/>
          <w:numId w:val="2"/>
        </w:numPr>
        <w:spacing w:after="100"/>
      </w:pPr>
      <w:r>
        <w:rPr>
          <w:rFonts w:ascii="Arial" w:cs="Arial" w:eastAsia="Arial" w:hAnsi="Arial"/>
          <w:color w:val="2C3E50"/>
          <w:sz w:val="20"/>
          <w:szCs w:val="20"/>
        </w:rPr>
        <w:t xml:space="preserve">Application mobile native (React Native ou PWA) pour les chauffeurs</w:t>
      </w:r>
    </w:p>
    <w:p>
      <w:pPr>
        <w:pStyle w:val="ListParagraph"/>
        <w:numPr>
          <w:ilvl w:val="0"/>
          <w:numId w:val="2"/>
        </w:numPr>
        <w:spacing w:after="100"/>
      </w:pPr>
      <w:r>
        <w:rPr>
          <w:rFonts w:ascii="Arial" w:cs="Arial" w:eastAsia="Arial" w:hAnsi="Arial"/>
          <w:color w:val="2C3E50"/>
          <w:sz w:val="20"/>
          <w:szCs w:val="20"/>
        </w:rPr>
        <w:t xml:space="preserve">Intégration des événements portuaires (journées fériées, fermetures, incidents) comme variables explicatives du modèle</w:t>
      </w:r>
    </w:p>
    <w:p>
      <w:pPr>
        <w:pStyle w:val="ListParagraph"/>
        <w:numPr>
          <w:ilvl w:val="0"/>
          <w:numId w:val="2"/>
        </w:numPr>
        <w:spacing w:after="100"/>
      </w:pPr>
      <w:r>
        <w:rPr>
          <w:rFonts w:ascii="Arial" w:cs="Arial" w:eastAsia="Arial" w:hAnsi="Arial"/>
          <w:color w:val="2C3E50"/>
          <w:sz w:val="20"/>
          <w:szCs w:val="20"/>
        </w:rPr>
        <w:t xml:space="preserve">Tableau de bord de supervision pour le service exploitation du PAA</w:t>
      </w:r>
    </w:p>
    <w:p>
      <w:pPr>
        <w:pStyle w:val="Heading2"/>
        <w:spacing w:after="160" w:before="280"/>
      </w:pPr>
      <w:r>
        <w:rPr>
          <w:rFonts w:ascii="Arial" w:cs="Arial" w:eastAsia="Arial" w:hAnsi="Arial"/>
          <w:b/>
          <w:bCs/>
          <w:color w:val="2874A6"/>
          <w:sz w:val="26"/>
          <w:szCs w:val="26"/>
        </w:rPr>
        <w:t xml:space="preserve">9.3 Limites du POC actuelles</w:t>
      </w:r>
    </w:p>
    <w:p>
      <w:pPr>
        <w:pStyle w:val="ListParagraph"/>
        <w:numPr>
          <w:ilvl w:val="0"/>
          <w:numId w:val="2"/>
        </w:numPr>
        <w:spacing w:after="100"/>
      </w:pPr>
      <w:r>
        <w:rPr>
          <w:rFonts w:ascii="Arial" w:cs="Arial" w:eastAsia="Arial" w:hAnsi="Arial"/>
          <w:color w:val="2C3E50"/>
          <w:sz w:val="20"/>
          <w:szCs w:val="20"/>
        </w:rPr>
        <w:t xml:space="preserve">Précision ML : 79,18 % sur une seule période, non validé sur d’autres saisons</w:t>
      </w:r>
    </w:p>
    <w:p>
      <w:pPr>
        <w:pStyle w:val="ListParagraph"/>
        <w:numPr>
          <w:ilvl w:val="0"/>
          <w:numId w:val="2"/>
        </w:numPr>
        <w:spacing w:after="100"/>
      </w:pPr>
      <w:r>
        <w:rPr>
          <w:rFonts w:ascii="Arial" w:cs="Arial" w:eastAsia="Arial" w:hAnsi="Arial"/>
          <w:color w:val="2C3E50"/>
          <w:sz w:val="20"/>
          <w:szCs w:val="20"/>
        </w:rPr>
        <w:t xml:space="preserve">Dépendance aux APIs payantes (TomTom, Gemini) : quota à surveiller en production</w:t>
      </w:r>
    </w:p>
    <w:p>
      <w:pPr>
        <w:pStyle w:val="ListParagraph"/>
        <w:numPr>
          <w:ilvl w:val="0"/>
          <w:numId w:val="2"/>
        </w:numPr>
        <w:spacing w:after="100"/>
      </w:pPr>
      <w:r>
        <w:rPr>
          <w:rFonts w:ascii="Arial" w:cs="Arial" w:eastAsia="Arial" w:hAnsi="Arial"/>
          <w:color w:val="2C3E50"/>
          <w:sz w:val="20"/>
          <w:szCs w:val="20"/>
        </w:rPr>
        <w:t xml:space="preserve">Pas de redondance de collecte : si GitHub Actions échoue, plus aucune donnée live en Firestore</w:t>
      </w:r>
    </w:p>
    <w:p>
      <w:pPr>
        <w:pStyle w:val="ListParagraph"/>
        <w:numPr>
          <w:ilvl w:val="0"/>
          <w:numId w:val="2"/>
        </w:numPr>
        <w:spacing w:after="100"/>
      </w:pPr>
      <w:r>
        <w:rPr>
          <w:rFonts w:ascii="Arial" w:cs="Arial" w:eastAsia="Arial" w:hAnsi="Arial"/>
          <w:color w:val="2C3E50"/>
          <w:sz w:val="20"/>
          <w:szCs w:val="20"/>
        </w:rPr>
        <w:t xml:space="preserve">Résolution de 10 minutes : pour les alertes urgentes, un intervalle plus court serait nécessaire</w:t>
      </w:r>
    </w:p>
    <w:p>
      <w:r>
        <w:br w:type="page"/>
      </w:r>
    </w:p>
    <w:p>
      <w:pPr>
        <w:pStyle w:val="Heading1"/>
        <w:spacing w:after="200" w:before="360"/>
      </w:pPr>
      <w:r>
        <w:rPr>
          <w:rFonts w:ascii="Arial" w:cs="Arial" w:eastAsia="Arial" w:hAnsi="Arial"/>
          <w:b/>
          <w:bCs/>
          <w:color w:val="1B4F8A"/>
          <w:sz w:val="32"/>
          <w:szCs w:val="32"/>
        </w:rPr>
        <w:t xml:space="preserve">10. Annexes techniques</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10.1 Structure des fichiers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Fichier</w:t>
            </w:r>
          </w:p>
        </w:tc>
        <w:tc>
          <w:tcPr>
            <w:tcW w:type="dxa" w:w="55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Rôle</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src/hooks/useTrafficData.js</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Hook principal : onSnapshot mesures_live + TomTom refresh + calcul KPIs</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src/hooks/useAxesFirestore.js</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CRUD axes/tronçons/seuils Firestore, fallback offline</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src/pages/DashboardPage.jsx</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Page Dashboard : carte Leaflet, KPI cards, alertes, IA FlowPort</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src/pages/GraphiquesPage.jsx</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Page Graphiques : courbes 24h, heatmap, donut, barre comparatif</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src/pages/AdminPage.jsx</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Interface admin : CRUD axes, tronçons, utilisateurs, seuils</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src/services/tomtom.js</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Appels TomTom Routing v1 + fallback OSRM</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src/services/indicators.js</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Calcul des indicateurs I1–I10</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src/services/aggregations.js</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Agrégations pour les graphiques (courbe, heatmap, donut)</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src/services/gemini.js</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Assistant IA Gemini 2.5 Flash Lite, prompts contextualisés</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collector/collecte.js</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Script Node.js de collecte automatisée (GitHub Actions)</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ml/train_model.py</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Script Python d’entraînement Random Forest + export predictions.json</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.github/workflows/collecte_auto.yml</w:t>
            </w:r>
          </w:p>
        </w:tc>
        <w:tc>
          <w:tcPr>
            <w:tcW w:type="dxa" w:w="5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Cron GitHub Actions : collecte toutes les 10 minutes</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.github/workflows/deploy-hosting.yml</w:t>
            </w:r>
          </w:p>
        </w:tc>
        <w:tc>
          <w:tcPr>
            <w:tcW w:type="dxa" w:w="5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CI/CD : build Vite + déploiement Firebase Hosting</w:t>
            </w:r>
          </w:p>
        </w:tc>
      </w:tr>
    </w:tbl>
    <w:p>
      <w:pPr>
        <w:spacing w:after="240"/>
      </w:pPr>
    </w:p>
    <w:p>
      <w:pPr>
        <w:pStyle w:val="Heading2"/>
        <w:spacing w:after="160" w:before="280"/>
      </w:pPr>
      <w:r>
        <w:rPr>
          <w:rFonts w:ascii="Arial" w:cs="Arial" w:eastAsia="Arial" w:hAnsi="Arial"/>
          <w:b/>
          <w:bCs/>
          <w:color w:val="2874A6"/>
          <w:sz w:val="26"/>
          <w:szCs w:val="26"/>
        </w:rPr>
        <w:t xml:space="preserve">10.2 Variables d’environnement requises</w:t>
      </w:r>
    </w:p>
    <w:p>
      <w:pPr>
        <w:spacing w:after="160" w:line="280"/>
        <w:jc w:val="left"/>
      </w:pPr>
      <w:r>
        <w:rPr>
          <w:rFonts w:ascii="Arial" w:cs="Arial" w:eastAsia="Arial" w:hAnsi="Arial"/>
          <w:b w:val="false"/>
          <w:bCs w:val="false"/>
          <w:i w:val="false"/>
          <w:iCs w:val="false"/>
          <w:color w:val="2C3E50"/>
          <w:sz w:val="22"/>
          <w:szCs w:val="22"/>
        </w:rPr>
        <w:t xml:space="preserve">Les variables suivantes doivent être définies dans un fichier .env (local) ou comme secrets GitHub (déploiement)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700"/>
        <w:gridCol w:w="1826"/>
      </w:tblGrid>
      <w:tr>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Variable</w:t>
            </w:r>
          </w:p>
        </w:tc>
        <w:tc>
          <w:tcPr>
            <w:tcW w:type="dxa" w:w="37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Usage</w:t>
            </w:r>
          </w:p>
        </w:tc>
        <w:tc>
          <w:tcPr>
            <w:tcW w:type="dxa" w:w="18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Obligatoire</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VITE_FIREBASE_API_KEY</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Accès Firebase (Firestore, Auth, Hosting)</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VITE_FIREBASE_PROJECT_ID</w:t>
            </w:r>
          </w:p>
        </w:tc>
        <w:tc>
          <w:tcPr>
            <w:tcW w:type="dxa" w:w="3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ID du projet Firebase</w:t>
            </w:r>
          </w:p>
        </w:tc>
        <w:tc>
          <w:tcPr>
            <w:tcW w:type="dxa" w:w="1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VITE_FIREBASE_AUTH_DOMAIN</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Domaine d’authentification Firebase</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VITE_FIREBASE_STORAGE_BUCKET</w:t>
            </w:r>
          </w:p>
        </w:tc>
        <w:tc>
          <w:tcPr>
            <w:tcW w:type="dxa" w:w="3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Bucket de stockage Firebase</w:t>
            </w:r>
          </w:p>
        </w:tc>
        <w:tc>
          <w:tcPr>
            <w:tcW w:type="dxa" w:w="1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VITE_FIREBASE_MESSAGING_SENDER_ID</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Identifiant Firebase Messaging</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VITE_FIREBASE_APP_ID</w:t>
            </w:r>
          </w:p>
        </w:tc>
        <w:tc>
          <w:tcPr>
            <w:tcW w:type="dxa" w:w="3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Identifiant de l’application Firebase</w:t>
            </w:r>
          </w:p>
        </w:tc>
        <w:tc>
          <w:tcPr>
            <w:tcW w:type="dxa" w:w="1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VITE_TOMTOM_API_KEY</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Calcul temps de trajet TomTom Routing v1</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VITE_GEMINI_API_KEY</w:t>
            </w:r>
          </w:p>
        </w:tc>
        <w:tc>
          <w:tcPr>
            <w:tcW w:type="dxa" w:w="3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Assistant IA Google Gemini</w:t>
            </w:r>
          </w:p>
        </w:tc>
        <w:tc>
          <w:tcPr>
            <w:tcW w:type="dxa" w:w="1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VITE_GOOGLE_MATRIX_API_KEY</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Google Distance Matrix (collecte)</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Optionnel</w:t>
            </w:r>
          </w:p>
        </w:tc>
      </w:tr>
      <w:tr>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FIREBASE_SERVICE_ACCOUNT_PORTFLOW_46738</w:t>
            </w:r>
          </w:p>
        </w:tc>
        <w:tc>
          <w:tcPr>
            <w:tcW w:type="dxa" w:w="3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Déploiement Firebase via CLI (GitHub Actions)</w:t>
            </w:r>
          </w:p>
        </w:tc>
        <w:tc>
          <w:tcPr>
            <w:tcW w:type="dxa" w:w="18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Oui (CI/CD)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r>
      <w:rPr>
        <w:rFonts w:ascii="Arial" w:cs="Arial" w:eastAsia="Arial" w:hAnsi="Arial"/>
        <w:color w:val="7F8C8D"/>
        <w:sz w:val="18"/>
        <w:szCs w:val="18"/>
      </w:rPr>
      <w:t xml:space="preserve"> — Confidentiel — Port Autonome d’Abidjan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8A" w:sz="2" w:space="1"/>
      </w:pBdr>
      <w:spacing w:after="0"/>
      <w:jc w:val="right"/>
    </w:pPr>
    <w:r>
      <w:rPr>
        <w:rFonts w:ascii="Arial" w:cs="Arial" w:eastAsia="Arial" w:hAnsi="Arial"/>
        <w:color w:val="7F8C8D"/>
        <w:sz w:val="18"/>
        <w:szCs w:val="18"/>
      </w:rPr>
      <w:t xml:space="preserve">PortFlow — Rapport Technique — STAT-HACK’26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874A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2026-06-30T12:10:18.472Z</dcterms:created>
  <dcterms:modified xsi:type="dcterms:W3CDTF">2026-06-30T12:10:18.473Z</dcterms:modified>
</cp:coreProperties>
</file>

<file path=docProps/custom.xml><?xml version="1.0" encoding="utf-8"?>
<Properties xmlns="http://schemas.openxmlformats.org/officeDocument/2006/custom-properties" xmlns:vt="http://schemas.openxmlformats.org/officeDocument/2006/docPropsVTypes"/>
</file>