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F37C" w14:textId="77777777" w:rsidR="00115918" w:rsidRDefault="00115918"/>
    <w:p w14:paraId="52309A63" w14:textId="77777777" w:rsidR="00115918" w:rsidRDefault="00115918"/>
    <w:p w14:paraId="2D9FA69A" w14:textId="77777777" w:rsidR="00115918" w:rsidRDefault="00000000">
      <w:r>
        <w:rPr>
          <w:noProof/>
        </w:rPr>
        <w:drawing>
          <wp:anchor distT="0" distB="0" distL="114300" distR="114300" simplePos="0" relativeHeight="251665408" behindDoc="0" locked="0" layoutInCell="1" allowOverlap="1" wp14:anchorId="4FC95499" wp14:editId="79BF55C2">
            <wp:simplePos x="0" y="0"/>
            <wp:positionH relativeFrom="margin">
              <wp:posOffset>2025652</wp:posOffset>
            </wp:positionH>
            <wp:positionV relativeFrom="margin">
              <wp:posOffset>777240</wp:posOffset>
            </wp:positionV>
            <wp:extent cx="1588139" cy="1714500"/>
            <wp:effectExtent l="0" t="0" r="0" b="0"/>
            <wp:wrapTight wrapText="bothSides">
              <wp:wrapPolygon edited="0">
                <wp:start x="9846" y="0"/>
                <wp:lineTo x="7773" y="240"/>
                <wp:lineTo x="2850" y="2880"/>
                <wp:lineTo x="2850" y="3840"/>
                <wp:lineTo x="1036" y="7440"/>
                <wp:lineTo x="1295" y="11520"/>
                <wp:lineTo x="3627" y="15360"/>
                <wp:lineTo x="0" y="18720"/>
                <wp:lineTo x="259" y="20400"/>
                <wp:lineTo x="20987" y="20400"/>
                <wp:lineTo x="21246" y="18960"/>
                <wp:lineTo x="18137" y="15360"/>
                <wp:lineTo x="20469" y="11520"/>
                <wp:lineTo x="20728" y="7680"/>
                <wp:lineTo x="19432" y="2880"/>
                <wp:lineTo x="14250" y="240"/>
                <wp:lineTo x="11918" y="0"/>
                <wp:lineTo x="9846" y="0"/>
              </wp:wrapPolygon>
            </wp:wrapTight>
            <wp:docPr id="878130029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8139" cy="17145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60C7253B" w14:textId="77777777" w:rsidR="00115918" w:rsidRDefault="00115918"/>
    <w:p w14:paraId="52EC269E" w14:textId="77777777" w:rsidR="00115918" w:rsidRDefault="00115918"/>
    <w:p w14:paraId="4892619A" w14:textId="77777777" w:rsidR="00115918" w:rsidRDefault="00115918"/>
    <w:p w14:paraId="32B7217F" w14:textId="77777777" w:rsidR="00115918" w:rsidRDefault="00115918"/>
    <w:p w14:paraId="368CC2BB" w14:textId="77777777" w:rsidR="00115918" w:rsidRDefault="00115918"/>
    <w:p w14:paraId="51173F3F" w14:textId="77777777" w:rsidR="00115918" w:rsidRDefault="00115918"/>
    <w:p w14:paraId="03E24063" w14:textId="77777777" w:rsidR="0011591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49EE0F" wp14:editId="7B3E9594">
                <wp:simplePos x="0" y="0"/>
                <wp:positionH relativeFrom="column">
                  <wp:posOffset>487046</wp:posOffset>
                </wp:positionH>
                <wp:positionV relativeFrom="paragraph">
                  <wp:posOffset>114300</wp:posOffset>
                </wp:positionV>
                <wp:extent cx="4914900" cy="381003"/>
                <wp:effectExtent l="0" t="0" r="0" b="0"/>
                <wp:wrapNone/>
                <wp:docPr id="89656375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900" cy="3810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203C19F" w14:textId="77777777" w:rsidR="00115918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PORT AUTONOME D’ABIDJAN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49EE0F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38.35pt;margin-top:9pt;width:387pt;height:3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" stroked="f">
                <v:textbox>
                  <w:txbxContent>
                    <w:p w14:paraId="5203C19F" w14:textId="77777777" w:rsidR="00115918" w:rsidRDefault="00000000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  <w:lang w:val="fr-FR"/>
                        </w:rPr>
                        <w:t>PORT AUTONOME D’ABIDJAN</w:t>
                      </w:r>
                    </w:p>
                  </w:txbxContent>
                </v:textbox>
              </v:shape>
            </w:pict>
          </mc:Fallback>
        </mc:AlternateContent>
      </w:r>
    </w:p>
    <w:p w14:paraId="19CCCA0B" w14:textId="77777777" w:rsidR="00115918" w:rsidRDefault="00115918"/>
    <w:p w14:paraId="606FC4B0" w14:textId="77777777" w:rsidR="00115918" w:rsidRDefault="00000000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FD50B1" wp14:editId="530D6EF1">
                <wp:simplePos x="0" y="0"/>
                <wp:positionH relativeFrom="margin">
                  <wp:align>right</wp:align>
                </wp:positionH>
                <wp:positionV relativeFrom="paragraph">
                  <wp:posOffset>7616</wp:posOffset>
                </wp:positionV>
                <wp:extent cx="5425436" cy="525780"/>
                <wp:effectExtent l="0" t="0" r="3814" b="7620"/>
                <wp:wrapNone/>
                <wp:docPr id="1827121788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436" cy="525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147FD181" w14:textId="77777777" w:rsidR="00115918" w:rsidRDefault="00000000">
                            <w:pPr>
                              <w:tabs>
                                <w:tab w:val="left" w:pos="431"/>
                                <w:tab w:val="left" w:pos="862"/>
                                <w:tab w:val="left" w:pos="1293"/>
                                <w:tab w:val="left" w:pos="1730"/>
                                <w:tab w:val="left" w:pos="4610"/>
                                <w:tab w:val="right" w:pos="9072"/>
                              </w:tabs>
                              <w:spacing w:after="12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lang w:val="fr-FR"/>
                              </w:rPr>
                              <w:t>DIRECTION DES ETUDES ECONOMIQUES, DE LA STRATEGIE ET DE LA PLANIFICATION</w:t>
                            </w:r>
                          </w:p>
                          <w:p w14:paraId="06950D2C" w14:textId="77777777" w:rsidR="00115918" w:rsidRDefault="00115918"/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D50B1" id="Zone de texte 11" o:spid="_x0000_s1027" type="#_x0000_t202" style="position:absolute;margin-left:376pt;margin-top:.6pt;width:427.2pt;height:41.4pt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" stroked="f">
                <v:textbox>
                  <w:txbxContent>
                    <w:p w14:paraId="147FD181" w14:textId="77777777" w:rsidR="00115918" w:rsidRDefault="00000000">
                      <w:pPr>
                        <w:tabs>
                          <w:tab w:val="left" w:pos="431"/>
                          <w:tab w:val="left" w:pos="862"/>
                          <w:tab w:val="left" w:pos="1293"/>
                          <w:tab w:val="left" w:pos="1730"/>
                          <w:tab w:val="left" w:pos="4610"/>
                          <w:tab w:val="right" w:pos="9072"/>
                        </w:tabs>
                        <w:spacing w:after="120"/>
                        <w:jc w:val="center"/>
                      </w:pPr>
                      <w:r>
                        <w:rPr>
                          <w:rFonts w:ascii="Times New Roman" w:hAnsi="Times New Roman"/>
                          <w:lang w:val="fr-FR"/>
                        </w:rPr>
                        <w:t>DIRECTION DES ETUDES ECONOMIQUES, DE LA STRATEGIE ET DE LA PLANIFICATION</w:t>
                      </w:r>
                    </w:p>
                    <w:p w14:paraId="06950D2C" w14:textId="77777777" w:rsidR="00115918" w:rsidRDefault="00115918"/>
                  </w:txbxContent>
                </v:textbox>
                <w10:wrap anchorx="margin"/>
              </v:shape>
            </w:pict>
          </mc:Fallback>
        </mc:AlternateContent>
      </w:r>
    </w:p>
    <w:p w14:paraId="3AD972B9" w14:textId="77777777" w:rsidR="00115918" w:rsidRDefault="00115918"/>
    <w:p w14:paraId="4312F46E" w14:textId="77777777" w:rsidR="0011591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65E8D2" wp14:editId="71A18EE3">
                <wp:simplePos x="0" y="0"/>
                <wp:positionH relativeFrom="column">
                  <wp:posOffset>426082</wp:posOffset>
                </wp:positionH>
                <wp:positionV relativeFrom="paragraph">
                  <wp:posOffset>8257</wp:posOffset>
                </wp:positionV>
                <wp:extent cx="5135883" cy="381003"/>
                <wp:effectExtent l="0" t="0" r="7617" b="0"/>
                <wp:wrapNone/>
                <wp:docPr id="20623474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5883" cy="3810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344AF26A" w14:textId="77777777" w:rsidR="00115918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Département Etudes Economiques et Financières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5E8D2" id="_x0000_s1028" type="#_x0000_t202" style="position:absolute;margin-left:33.55pt;margin-top:.65pt;width:404.4pt;height:3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" stroked="f">
                <v:textbox>
                  <w:txbxContent>
                    <w:p w14:paraId="344AF26A" w14:textId="77777777" w:rsidR="00115918" w:rsidRDefault="00000000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Département Etudes Economiques et Financières</w:t>
                      </w:r>
                    </w:p>
                  </w:txbxContent>
                </v:textbox>
              </v:shape>
            </w:pict>
          </mc:Fallback>
        </mc:AlternateContent>
      </w:r>
    </w:p>
    <w:p w14:paraId="4937F5E7" w14:textId="77777777" w:rsidR="00115918" w:rsidRDefault="00115918"/>
    <w:p w14:paraId="02E185E0" w14:textId="77777777" w:rsidR="00115918" w:rsidRDefault="00115918"/>
    <w:p w14:paraId="20D98585" w14:textId="77777777" w:rsidR="00115918" w:rsidRDefault="00115918">
      <w:pPr>
        <w:pBdr>
          <w:top w:val="single" w:sz="48" w:space="1" w:color="0E4C74"/>
          <w:bottom w:val="single" w:sz="48" w:space="1" w:color="0E4C74"/>
        </w:pBdr>
        <w:jc w:val="center"/>
        <w:rPr>
          <w:rFonts w:ascii="Times New Roman" w:hAnsi="Times New Roman"/>
          <w:sz w:val="28"/>
          <w:szCs w:val="28"/>
        </w:rPr>
      </w:pPr>
    </w:p>
    <w:p w14:paraId="53E3FA10" w14:textId="77777777" w:rsidR="00115918" w:rsidRDefault="00000000">
      <w:pPr>
        <w:pBdr>
          <w:top w:val="single" w:sz="48" w:space="1" w:color="0E4C74"/>
          <w:bottom w:val="single" w:sz="48" w:space="1" w:color="0E4C74"/>
        </w:pBdr>
        <w:jc w:val="center"/>
      </w:pPr>
      <w:r>
        <w:rPr>
          <w:rFonts w:ascii="Times New Roman" w:hAnsi="Times New Roman"/>
          <w:b/>
          <w:bCs/>
          <w:sz w:val="36"/>
          <w:szCs w:val="36"/>
        </w:rPr>
        <w:t>GUIDE DE L’UTILISATEUR — 06/07/2026</w:t>
      </w:r>
      <w:r/>
      <w:r>
        <w:rPr>
          <w:rFonts w:ascii="Times New Roman" w:hAnsi="Times New Roman"/>
          <w:b/>
          <w:bCs/>
          <w:sz w:val="36"/>
          <w:szCs w:val="36"/>
        </w:rPr>
      </w:r>
      <w:r>
        <w:rPr>
          <w:sz w:val="36"/>
          <w:szCs w:val="36"/>
        </w:rPr>
      </w:r>
      <w:r>
        <w:rPr>
          <w:rFonts w:ascii="Times New Roman" w:hAnsi="Times New Roman"/>
          <w:sz w:val="36"/>
          <w:szCs w:val="36"/>
        </w:rPr>
      </w:r>
    </w:p>
    <w:p w14:paraId="6BFD11E0" w14:textId="77777777" w:rsidR="00115918" w:rsidRDefault="00115918">
      <w:pPr>
        <w:pBdr>
          <w:top w:val="single" w:sz="48" w:space="1" w:color="0E4C74"/>
          <w:bottom w:val="single" w:sz="48" w:space="1" w:color="0E4C74"/>
        </w:pBdr>
        <w:jc w:val="center"/>
      </w:pPr>
    </w:p>
    <w:p w14:paraId="66A3A4F3" w14:textId="77777777" w:rsidR="00115918" w:rsidRDefault="00000000">
      <w:r>
        <w:rPr>
          <w:rFonts w:ascii="Times New Roman" w:hAnsi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F3890F" wp14:editId="62DDE22F">
                <wp:simplePos x="0" y="0"/>
                <wp:positionH relativeFrom="column">
                  <wp:posOffset>-99056</wp:posOffset>
                </wp:positionH>
                <wp:positionV relativeFrom="paragraph">
                  <wp:posOffset>205740</wp:posOffset>
                </wp:positionV>
                <wp:extent cx="6035040" cy="1234440"/>
                <wp:effectExtent l="0" t="0" r="22860" b="22860"/>
                <wp:wrapNone/>
                <wp:docPr id="1315769561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5040" cy="1234440"/>
                        </a:xfrm>
                        <a:custGeom>
                          <a:avLst>
                            <a:gd name="f0" fmla="val 3600"/>
                          </a:avLst>
                          <a:gdLst>
                            <a:gd name="f1" fmla="val 10800000"/>
                            <a:gd name="f2" fmla="val 5400000"/>
                            <a:gd name="f3" fmla="val 16200000"/>
                            <a:gd name="f4" fmla="val w"/>
                            <a:gd name="f5" fmla="val h"/>
                            <a:gd name="f6" fmla="val ss"/>
                            <a:gd name="f7" fmla="val 0"/>
                            <a:gd name="f8" fmla="*/ 5419351 1 1725033"/>
                            <a:gd name="f9" fmla="val 45"/>
                            <a:gd name="f10" fmla="val 10800"/>
                            <a:gd name="f11" fmla="val -2147483647"/>
                            <a:gd name="f12" fmla="val 2147483647"/>
                            <a:gd name="f13" fmla="abs f4"/>
                            <a:gd name="f14" fmla="abs f5"/>
                            <a:gd name="f15" fmla="abs f6"/>
                            <a:gd name="f16" fmla="*/ f8 1 180"/>
                            <a:gd name="f17" fmla="pin 0 f0 10800"/>
                            <a:gd name="f18" fmla="+- 0 0 f2"/>
                            <a:gd name="f19" fmla="?: f13 f4 1"/>
                            <a:gd name="f20" fmla="?: f14 f5 1"/>
                            <a:gd name="f21" fmla="?: f15 f6 1"/>
                            <a:gd name="f22" fmla="*/ f9 f16 1"/>
                            <a:gd name="f23" fmla="+- f7 f17 0"/>
                            <a:gd name="f24" fmla="*/ f19 1 21600"/>
                            <a:gd name="f25" fmla="*/ f20 1 21600"/>
                            <a:gd name="f26" fmla="*/ 21600 f19 1"/>
                            <a:gd name="f27" fmla="*/ 21600 f20 1"/>
                            <a:gd name="f28" fmla="+- 0 0 f22"/>
                            <a:gd name="f29" fmla="min f25 f24"/>
                            <a:gd name="f30" fmla="*/ f26 1 f21"/>
                            <a:gd name="f31" fmla="*/ f27 1 f21"/>
                            <a:gd name="f32" fmla="*/ f28 f1 1"/>
                            <a:gd name="f33" fmla="*/ f32 1 f8"/>
                            <a:gd name="f34" fmla="+- f31 0 f17"/>
                            <a:gd name="f35" fmla="+- f30 0 f17"/>
                            <a:gd name="f36" fmla="*/ f17 f29 1"/>
                            <a:gd name="f37" fmla="*/ f7 f29 1"/>
                            <a:gd name="f38" fmla="*/ f23 f29 1"/>
                            <a:gd name="f39" fmla="*/ f31 f29 1"/>
                            <a:gd name="f40" fmla="*/ f30 f29 1"/>
                            <a:gd name="f41" fmla="+- f33 0 f2"/>
                            <a:gd name="f42" fmla="+- f37 0 f38"/>
                            <a:gd name="f43" fmla="+- f38 0 f37"/>
                            <a:gd name="f44" fmla="*/ f34 f29 1"/>
                            <a:gd name="f45" fmla="*/ f35 f29 1"/>
                            <a:gd name="f46" fmla="cos 1 f41"/>
                            <a:gd name="f47" fmla="abs f42"/>
                            <a:gd name="f48" fmla="abs f43"/>
                            <a:gd name="f49" fmla="?: f42 f18 f2"/>
                            <a:gd name="f50" fmla="?: f42 f2 f18"/>
                            <a:gd name="f51" fmla="?: f42 f3 f2"/>
                            <a:gd name="f52" fmla="?: f42 f2 f3"/>
                            <a:gd name="f53" fmla="+- f39 0 f44"/>
                            <a:gd name="f54" fmla="?: f43 f18 f2"/>
                            <a:gd name="f55" fmla="?: f43 f2 f18"/>
                            <a:gd name="f56" fmla="+- f40 0 f45"/>
                            <a:gd name="f57" fmla="+- f44 0 f39"/>
                            <a:gd name="f58" fmla="+- f45 0 f40"/>
                            <a:gd name="f59" fmla="?: f42 0 f1"/>
                            <a:gd name="f60" fmla="?: f42 f1 0"/>
                            <a:gd name="f61" fmla="+- 0 0 f46"/>
                            <a:gd name="f62" fmla="?: f42 f52 f51"/>
                            <a:gd name="f63" fmla="?: f42 f51 f52"/>
                            <a:gd name="f64" fmla="?: f43 f50 f49"/>
                            <a:gd name="f65" fmla="abs f53"/>
                            <a:gd name="f66" fmla="?: f53 0 f1"/>
                            <a:gd name="f67" fmla="?: f53 f1 0"/>
                            <a:gd name="f68" fmla="?: f53 f54 f55"/>
                            <a:gd name="f69" fmla="abs f56"/>
                            <a:gd name="f70" fmla="abs f57"/>
                            <a:gd name="f71" fmla="?: f56 f18 f2"/>
                            <a:gd name="f72" fmla="?: f56 f2 f18"/>
                            <a:gd name="f73" fmla="?: f56 f3 f2"/>
                            <a:gd name="f74" fmla="?: f56 f2 f3"/>
                            <a:gd name="f75" fmla="abs f58"/>
                            <a:gd name="f76" fmla="?: f58 f18 f2"/>
                            <a:gd name="f77" fmla="?: f58 f2 f18"/>
                            <a:gd name="f78" fmla="?: f58 f60 f59"/>
                            <a:gd name="f79" fmla="?: f58 f59 f60"/>
                            <a:gd name="f80" fmla="*/ f17 f61 1"/>
                            <a:gd name="f81" fmla="?: f43 f63 f62"/>
                            <a:gd name="f82" fmla="?: f43 f67 f66"/>
                            <a:gd name="f83" fmla="?: f43 f66 f67"/>
                            <a:gd name="f84" fmla="?: f56 f74 f73"/>
                            <a:gd name="f85" fmla="?: f56 f73 f74"/>
                            <a:gd name="f86" fmla="?: f57 f72 f71"/>
                            <a:gd name="f87" fmla="?: f42 f78 f79"/>
                            <a:gd name="f88" fmla="?: f42 f76 f77"/>
                            <a:gd name="f89" fmla="*/ f80 3163 1"/>
                            <a:gd name="f90" fmla="?: f53 f82 f83"/>
                            <a:gd name="f91" fmla="?: f57 f85 f84"/>
                            <a:gd name="f92" fmla="*/ f89 1 7636"/>
                            <a:gd name="f93" fmla="+- f7 f92 0"/>
                            <a:gd name="f94" fmla="+- f30 0 f92"/>
                            <a:gd name="f95" fmla="+- f31 0 f92"/>
                            <a:gd name="f96" fmla="*/ f93 f29 1"/>
                            <a:gd name="f97" fmla="*/ f94 f29 1"/>
                            <a:gd name="f98" fmla="*/ f95 f29 1"/>
                          </a:gdLst>
                          <a:ahLst>
                            <a:ahXY gdRefX="f0" minX="f7" maxX="f10">
                              <a:pos x="f36" y="f37"/>
                            </a:ahXY>
                          </a:ahLst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96" t="f96" r="f97" b="f98"/>
                          <a:pathLst>
                            <a:path>
                              <a:moveTo>
                                <a:pt x="f38" y="f37"/>
                              </a:moveTo>
                              <a:arcTo wR="f47" hR="f48" stAng="f81" swAng="f64"/>
                              <a:lnTo>
                                <a:pt x="f37" y="f44"/>
                              </a:lnTo>
                              <a:arcTo wR="f48" hR="f65" stAng="f90" swAng="f68"/>
                              <a:lnTo>
                                <a:pt x="f45" y="f39"/>
                              </a:lnTo>
                              <a:arcTo wR="f69" hR="f70" stAng="f91" swAng="f86"/>
                              <a:lnTo>
                                <a:pt x="f40" y="f38"/>
                              </a:lnTo>
                              <a:arcTo wR="f75" hR="f47" stAng="f87" swAng="f88"/>
                              <a:close/>
                            </a:path>
                          </a:pathLst>
                        </a:custGeom>
                        <a:noFill/>
                        <a:ln w="19046" cap="flat">
                          <a:solidFill>
                            <a:srgbClr val="0E4C74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27821508" id="Rectangle : coins arrondis 2" o:spid="_x0000_s1026" style="position:absolute;margin-left:-7.8pt;margin-top:16.2pt;width:475.2pt;height:97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35040,1234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" path="m205740,at,,411480,411480,205740,,,205740l,1028700at,822960,411480,1234440,,1028700,205740,1234440l5829300,1234440at5623560,822960,6035040,1234440,5829300,1234440,6035040,1028700l6035040,205740at5623560,,6035040,411480,6035040,205740,5829300,l205740,xe" filled="f" strokecolor="#0e4c74" strokeweight=".52906mm">
                <v:stroke joinstyle="miter"/>
                <v:path arrowok="t" o:connecttype="custom" o:connectlocs="3017520,0;6035040,617220;3017520,1234440;0,617220" o:connectangles="270,0,90,180" textboxrect="60261,60261,5974779,1174179"/>
              </v:shape>
            </w:pict>
          </mc:Fallback>
        </mc:AlternateContent>
      </w:r>
    </w:p>
    <w:p w14:paraId="2EFBF1BE" w14:textId="77777777" w:rsidR="00115918" w:rsidRDefault="00000000">
      <w:pPr>
        <w:ind w:firstLine="708"/>
        <w:jc w:val="center"/>
      </w:pPr>
      <w:r>
        <w:rPr>
          <w:rFonts w:ascii="Times New Roman" w:hAnsi="Times New Roman"/>
          <w:b/>
          <w:bCs/>
          <w:sz w:val="36"/>
          <w:szCs w:val="36"/>
        </w:rPr>
        <w:t>FlowPort — Surveillance du trafic routier de la zone portuaire</w:t>
      </w:r>
    </w:p>
    <w:p w14:paraId="1275DC58" w14:textId="77777777" w:rsidR="00115918" w:rsidRDefault="00115918">
      <w:pPr>
        <w:pBdr>
          <w:bottom w:val="single" w:sz="48" w:space="31" w:color="0E4C74"/>
        </w:pBdr>
        <w:rPr>
          <w:rFonts w:ascii="Times New Roman" w:hAnsi="Times New Roman"/>
          <w:sz w:val="28"/>
          <w:szCs w:val="28"/>
        </w:rPr>
      </w:pPr>
    </w:p>
    <w:p w14:paraId="4E92D909" w14:textId="77777777" w:rsidR="00115918" w:rsidRDefault="00115918">
      <w:pPr>
        <w:pBdr>
          <w:bottom w:val="single" w:sz="48" w:space="31" w:color="0E4C74"/>
        </w:pBdr>
        <w:rPr>
          <w:rFonts w:ascii="Times New Roman" w:hAnsi="Times New Roman"/>
          <w:sz w:val="28"/>
          <w:szCs w:val="28"/>
        </w:rPr>
      </w:pPr>
    </w:p>
    <w:p w14:paraId="729D0988" w14:textId="77777777" w:rsidR="00115918" w:rsidRDefault="00115918">
      <w:pPr>
        <w:rPr>
          <w:rFonts w:ascii="Times New Roman" w:hAnsi="Times New Roman"/>
          <w:sz w:val="28"/>
          <w:szCs w:val="28"/>
        </w:rPr>
      </w:pPr>
    </w:p>
    <w:p w14:paraId="0D838964" w14:textId="77777777" w:rsidR="00115918" w:rsidRDefault="00115918">
      <w:pPr>
        <w:rPr>
          <w:rFonts w:ascii="Times New Roman" w:hAnsi="Times New Roman"/>
          <w:b/>
          <w:bCs/>
          <w:sz w:val="28"/>
          <w:szCs w:val="28"/>
        </w:rPr>
      </w:pPr>
    </w:p>
    <w:p w14:paraId="0A3A72DC" w14:textId="77777777" w:rsidR="00115918" w:rsidRDefault="00115918">
      <w:pPr>
        <w:pageBreakBefore/>
        <w:rPr>
          <w:rFonts w:ascii="Times New Roman" w:hAnsi="Times New Roman"/>
          <w:b/>
          <w:bCs/>
          <w:sz w:val="28"/>
          <w:szCs w:val="28"/>
        </w:rPr>
      </w:pPr>
    </w:p>
    <w:p w14:paraId="7F5517DE" w14:textId="77777777" w:rsidR="00115918" w:rsidRDefault="00000000">
      <w:pPr>
        <w:pStyle w:val="En-ttedetabledesmatires1"/>
        <w:outlineLvl w:val="9"/>
      </w:pPr>
      <w:r>
        <w:rPr>
          <w:rFonts w:ascii="Times New Roman" w:hAnsi="Times New Roman"/>
          <w:b/>
          <w:bCs/>
          <w:color w:val="0E4C74"/>
          <w:lang w:val="fr-FR"/>
        </w:rPr>
        <w:t>Sommaire</w:t>
      </w:r>
    </w:p>
    <w:p w14:paraId="7E819775" w14:textId="77777777" w:rsidR="00115918" w:rsidRDefault="00115918">
      <w:pPr>
        <w:pStyle w:val="TM2"/>
      </w:pPr>
    </w:p>
    <w:p w14:paraId="4C9C4E6D" w14:textId="77777777" w:rsidR="00115918" w:rsidRDefault="00000000">
      <w:pPr>
        <w:pStyle w:val="TM2"/>
        <w:tabs>
          <w:tab w:val="right" w:leader="dot" w:pos="660"/>
        </w:tabs>
      </w:pPr>
      <w:r>
        <w:fldChar w:fldCharType="begin"/>
      </w:r>
      <w:r>
        <w:instrText xml:space="preserve"> TOC \o "1-3" \u \h </w:instrText>
      </w:r>
      <w:r>
        <w:fldChar w:fldCharType="separate"/>
      </w:r>
      <w:hyperlink r:id="rId8" w:history="1">
        <w:r>
          <w:rPr>
            <w:rStyle w:val="Lienhypertexte"/>
          </w:rPr>
          <w:t>INTRODUCTION</w:t>
        </w:r>
        <w:r>
          <w:tab/>
          <w:t>4</w:t>
        </w:r>
      </w:hyperlink>
    </w:p>
    <w:p w14:paraId="23798D3B" w14:textId="77777777" w:rsidR="00115918" w:rsidRDefault="00000000">
      <w:pPr>
        <w:pStyle w:val="TM2"/>
        <w:tabs>
          <w:tab w:val="right" w:leader="dot" w:pos="660"/>
        </w:tabs>
      </w:pPr>
      <w:hyperlink r:id="rId9" w:history="1">
        <w:r>
          <w:rPr>
            <w:rStyle w:val="Lienhypertexte"/>
          </w:rPr>
          <w:t>I.</w:t>
        </w:r>
        <w:r>
          <w:rPr>
            <w:rFonts w:ascii="Calibri" w:eastAsia="Times New Roman" w:hAnsi="Calibri"/>
            <w:b w:val="0"/>
            <w:bCs w:val="0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</w:rPr>
          <w:t>LES DIFFERENTES ZONES CONGESTIONNEES AU PORT D’ABIDJAN</w:t>
        </w:r>
        <w:r>
          <w:tab/>
          <w:t>6</w:t>
        </w:r>
      </w:hyperlink>
    </w:p>
    <w:p w14:paraId="092BDDEA" w14:textId="77777777" w:rsidR="00115918" w:rsidRDefault="00000000">
      <w:pPr>
        <w:pStyle w:val="TM2"/>
        <w:tabs>
          <w:tab w:val="right" w:leader="dot" w:pos="660"/>
        </w:tabs>
      </w:pPr>
      <w:hyperlink r:id="rId10" w:history="1">
        <w:r>
          <w:rPr>
            <w:rStyle w:val="Lienhypertexte"/>
          </w:rPr>
          <w:t>1.</w:t>
        </w:r>
        <w:r>
          <w:rPr>
            <w:rFonts w:ascii="Calibri" w:eastAsia="Times New Roman" w:hAnsi="Calibri"/>
            <w:b w:val="0"/>
            <w:bCs w:val="0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</w:rPr>
          <w:t>Etat des zones congestionnées dans le sens « aller »</w:t>
        </w:r>
        <w:r>
          <w:tab/>
          <w:t>6</w:t>
        </w:r>
      </w:hyperlink>
    </w:p>
    <w:p w14:paraId="72ED0670" w14:textId="77777777" w:rsidR="00115918" w:rsidRDefault="00000000">
      <w:pPr>
        <w:pStyle w:val="TM2"/>
        <w:tabs>
          <w:tab w:val="right" w:leader="dot" w:pos="660"/>
        </w:tabs>
      </w:pPr>
      <w:hyperlink r:id="rId11" w:history="1">
        <w:r>
          <w:rPr>
            <w:rStyle w:val="Lienhypertexte"/>
          </w:rPr>
          <w:t>2.</w:t>
        </w:r>
        <w:r>
          <w:rPr>
            <w:rFonts w:ascii="Calibri" w:eastAsia="Times New Roman" w:hAnsi="Calibri"/>
            <w:b w:val="0"/>
            <w:bCs w:val="0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</w:rPr>
          <w:t>Etat des zones congestionnées dans le sens « retour »</w:t>
        </w:r>
        <w:r>
          <w:tab/>
          <w:t>7</w:t>
        </w:r>
      </w:hyperlink>
    </w:p>
    <w:p w14:paraId="0A1CEBE1" w14:textId="77777777" w:rsidR="00115918" w:rsidRDefault="00000000">
      <w:pPr>
        <w:pStyle w:val="TM2"/>
        <w:tabs>
          <w:tab w:val="right" w:leader="dot" w:pos="660"/>
        </w:tabs>
      </w:pPr>
      <w:hyperlink r:id="rId12" w:history="1">
        <w:r>
          <w:rPr>
            <w:rStyle w:val="Lienhypertexte"/>
          </w:rPr>
          <w:t>II.</w:t>
        </w:r>
        <w:r>
          <w:rPr>
            <w:rFonts w:ascii="Calibri" w:eastAsia="Times New Roman" w:hAnsi="Calibri"/>
            <w:b w:val="0"/>
            <w:bCs w:val="0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</w:rPr>
          <w:t>EVALUATION DU TEMPS DE TRAVERSEE DE LA ZONE PORTUAIRE</w:t>
        </w:r>
        <w:r>
          <w:tab/>
          <w:t>7</w:t>
        </w:r>
      </w:hyperlink>
    </w:p>
    <w:p w14:paraId="1291CD84" w14:textId="77777777" w:rsidR="00115918" w:rsidRDefault="00000000">
      <w:pPr>
        <w:pStyle w:val="TM2"/>
        <w:tabs>
          <w:tab w:val="right" w:leader="dot" w:pos="660"/>
        </w:tabs>
      </w:pPr>
      <w:hyperlink r:id="rId13" w:history="1">
        <w:r>
          <w:rPr>
            <w:rStyle w:val="Lienhypertexte"/>
          </w:rPr>
          <w:t>1.</w:t>
        </w:r>
        <w:r>
          <w:rPr>
            <w:rFonts w:ascii="Calibri" w:eastAsia="Times New Roman" w:hAnsi="Calibri"/>
            <w:b w:val="0"/>
            <w:bCs w:val="0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</w:rPr>
          <w:t>Détermination du temps minimal de traversée</w:t>
        </w:r>
        <w:r>
          <w:tab/>
          <w:t>7</w:t>
        </w:r>
      </w:hyperlink>
    </w:p>
    <w:p w14:paraId="7E85EBF5" w14:textId="77777777" w:rsidR="00115918" w:rsidRDefault="00000000">
      <w:pPr>
        <w:pStyle w:val="TM3"/>
        <w:tabs>
          <w:tab w:val="right" w:leader="dot" w:pos="880"/>
        </w:tabs>
      </w:pPr>
      <w:hyperlink r:id="rId14" w:history="1">
        <w:r>
          <w:rPr>
            <w:rStyle w:val="Lienhypertexte"/>
            <w:rFonts w:ascii="Times New Roman" w:hAnsi="Times New Roman"/>
            <w:b/>
          </w:rPr>
          <w:t>A.</w:t>
        </w:r>
        <w:r>
          <w:rPr>
            <w:rFonts w:eastAsia="Times New Roman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  <w:rFonts w:ascii="Times New Roman" w:hAnsi="Times New Roman"/>
            <w:b/>
          </w:rPr>
          <w:t>Axe « CARENA - Pharmacie Palm Beach »</w:t>
        </w:r>
        <w:r>
          <w:tab/>
          <w:t>7</w:t>
        </w:r>
      </w:hyperlink>
    </w:p>
    <w:p w14:paraId="72BA203E" w14:textId="77777777" w:rsidR="00115918" w:rsidRDefault="00000000">
      <w:pPr>
        <w:pStyle w:val="TM3"/>
        <w:tabs>
          <w:tab w:val="right" w:leader="dot" w:pos="880"/>
        </w:tabs>
      </w:pPr>
      <w:hyperlink r:id="rId15" w:history="1">
        <w:r>
          <w:rPr>
            <w:rStyle w:val="Lienhypertexte"/>
            <w:rFonts w:ascii="Times New Roman" w:hAnsi="Times New Roman"/>
            <w:b/>
          </w:rPr>
          <w:t>B.</w:t>
        </w:r>
        <w:r>
          <w:rPr>
            <w:rFonts w:eastAsia="Times New Roman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  <w:rFonts w:ascii="Times New Roman" w:hAnsi="Times New Roman"/>
            <w:b/>
          </w:rPr>
          <w:t>Axe « Toyota CFAO - Pharmacie Palm Beach »</w:t>
        </w:r>
        <w:r>
          <w:tab/>
          <w:t>9</w:t>
        </w:r>
      </w:hyperlink>
    </w:p>
    <w:p w14:paraId="6973EFAB" w14:textId="77777777" w:rsidR="00115918" w:rsidRDefault="00000000">
      <w:pPr>
        <w:pStyle w:val="TM3"/>
        <w:tabs>
          <w:tab w:val="right" w:leader="dot" w:pos="880"/>
        </w:tabs>
      </w:pPr>
      <w:hyperlink r:id="rId16" w:history="1">
        <w:r>
          <w:rPr>
            <w:rStyle w:val="Lienhypertexte"/>
            <w:rFonts w:ascii="Times New Roman" w:hAnsi="Times New Roman"/>
            <w:b/>
          </w:rPr>
          <w:t>C.</w:t>
        </w:r>
        <w:r>
          <w:rPr>
            <w:rFonts w:eastAsia="Times New Roman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  <w:rFonts w:ascii="Times New Roman" w:hAnsi="Times New Roman"/>
            <w:b/>
          </w:rPr>
          <w:t>Axe « Agence SODECI - Pharmacie Palm Beach »</w:t>
        </w:r>
        <w:r>
          <w:tab/>
          <w:t>10</w:t>
        </w:r>
      </w:hyperlink>
    </w:p>
    <w:p w14:paraId="1FBE6AC9" w14:textId="77777777" w:rsidR="00115918" w:rsidRDefault="00000000">
      <w:pPr>
        <w:pStyle w:val="TM2"/>
        <w:tabs>
          <w:tab w:val="right" w:leader="dot" w:pos="660"/>
        </w:tabs>
      </w:pPr>
      <w:hyperlink r:id="rId17" w:history="1">
        <w:r>
          <w:rPr>
            <w:rStyle w:val="Lienhypertexte"/>
          </w:rPr>
          <w:t>2.</w:t>
        </w:r>
        <w:r>
          <w:rPr>
            <w:rFonts w:ascii="Calibri" w:eastAsia="Times New Roman" w:hAnsi="Calibri"/>
            <w:b w:val="0"/>
            <w:bCs w:val="0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</w:rPr>
          <w:t>Détermination du temps moyen de traversée</w:t>
        </w:r>
        <w:r>
          <w:tab/>
          <w:t>13</w:t>
        </w:r>
      </w:hyperlink>
    </w:p>
    <w:p w14:paraId="67135791" w14:textId="77777777" w:rsidR="00115918" w:rsidRDefault="00000000">
      <w:pPr>
        <w:pStyle w:val="TM3"/>
        <w:tabs>
          <w:tab w:val="right" w:leader="dot" w:pos="880"/>
        </w:tabs>
      </w:pPr>
      <w:hyperlink r:id="rId18" w:history="1">
        <w:r>
          <w:rPr>
            <w:rStyle w:val="Lienhypertexte"/>
            <w:rFonts w:ascii="Times New Roman" w:hAnsi="Times New Roman"/>
            <w:b/>
          </w:rPr>
          <w:t>A.</w:t>
        </w:r>
        <w:r>
          <w:rPr>
            <w:rFonts w:eastAsia="Times New Roman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  <w:rFonts w:ascii="Times New Roman" w:hAnsi="Times New Roman"/>
            <w:b/>
          </w:rPr>
          <w:t>Axe « CARENA - Pharmacie Palm Beach »</w:t>
        </w:r>
        <w:r>
          <w:tab/>
          <w:t>13</w:t>
        </w:r>
      </w:hyperlink>
    </w:p>
    <w:p w14:paraId="6C133881" w14:textId="77777777" w:rsidR="00115918" w:rsidRDefault="00000000">
      <w:pPr>
        <w:pStyle w:val="TM3"/>
        <w:tabs>
          <w:tab w:val="right" w:leader="dot" w:pos="880"/>
        </w:tabs>
      </w:pPr>
      <w:hyperlink r:id="rId19" w:history="1">
        <w:r>
          <w:rPr>
            <w:rStyle w:val="Lienhypertexte"/>
            <w:rFonts w:ascii="Times New Roman" w:hAnsi="Times New Roman"/>
            <w:b/>
          </w:rPr>
          <w:t>B.</w:t>
        </w:r>
        <w:r>
          <w:rPr>
            <w:rFonts w:eastAsia="Times New Roman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  <w:rFonts w:ascii="Times New Roman" w:hAnsi="Times New Roman"/>
            <w:b/>
          </w:rPr>
          <w:t>Axe « Toyota CFAO - Pharmacie Palm Beach »</w:t>
        </w:r>
        <w:r>
          <w:tab/>
          <w:t>14</w:t>
        </w:r>
      </w:hyperlink>
    </w:p>
    <w:p w14:paraId="386B9D1B" w14:textId="77777777" w:rsidR="00115918" w:rsidRDefault="00000000">
      <w:pPr>
        <w:pStyle w:val="TM3"/>
        <w:tabs>
          <w:tab w:val="right" w:leader="dot" w:pos="880"/>
        </w:tabs>
      </w:pPr>
      <w:hyperlink r:id="rId20" w:history="1">
        <w:r>
          <w:rPr>
            <w:rStyle w:val="Lienhypertexte"/>
            <w:rFonts w:ascii="Times New Roman" w:hAnsi="Times New Roman"/>
            <w:b/>
          </w:rPr>
          <w:t>C.</w:t>
        </w:r>
        <w:r>
          <w:rPr>
            <w:rFonts w:eastAsia="Times New Roman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  <w:rFonts w:ascii="Times New Roman" w:hAnsi="Times New Roman"/>
            <w:b/>
          </w:rPr>
          <w:t>Axe « Agence SODECI - Pharmacie Palm Beach »</w:t>
        </w:r>
        <w:r>
          <w:tab/>
          <w:t>15</w:t>
        </w:r>
      </w:hyperlink>
    </w:p>
    <w:p w14:paraId="1376F28C" w14:textId="77777777" w:rsidR="00115918" w:rsidRDefault="00000000">
      <w:pPr>
        <w:pStyle w:val="TM2"/>
        <w:tabs>
          <w:tab w:val="right" w:leader="dot" w:pos="660"/>
        </w:tabs>
      </w:pPr>
      <w:hyperlink r:id="rId21" w:history="1">
        <w:r>
          <w:rPr>
            <w:rStyle w:val="Lienhypertexte"/>
          </w:rPr>
          <w:t>3.</w:t>
        </w:r>
        <w:r>
          <w:rPr>
            <w:rFonts w:ascii="Calibri" w:eastAsia="Times New Roman" w:hAnsi="Calibri"/>
            <w:b w:val="0"/>
            <w:bCs w:val="0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</w:rPr>
          <w:t>Détermination du temps maximal de traversée</w:t>
        </w:r>
        <w:r>
          <w:tab/>
          <w:t>16</w:t>
        </w:r>
      </w:hyperlink>
    </w:p>
    <w:p w14:paraId="5543A140" w14:textId="77777777" w:rsidR="00115918" w:rsidRDefault="00000000">
      <w:pPr>
        <w:pStyle w:val="TM3"/>
        <w:tabs>
          <w:tab w:val="right" w:leader="dot" w:pos="880"/>
        </w:tabs>
      </w:pPr>
      <w:hyperlink r:id="rId22" w:history="1">
        <w:r>
          <w:rPr>
            <w:rStyle w:val="Lienhypertexte"/>
            <w:rFonts w:ascii="Times New Roman" w:hAnsi="Times New Roman"/>
            <w:b/>
          </w:rPr>
          <w:t>A.</w:t>
        </w:r>
        <w:r>
          <w:rPr>
            <w:rFonts w:eastAsia="Times New Roman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  <w:rFonts w:ascii="Times New Roman" w:hAnsi="Times New Roman"/>
            <w:b/>
          </w:rPr>
          <w:t>Axe « CARENA - Pharmacie Palm Beach »</w:t>
        </w:r>
        <w:r>
          <w:tab/>
          <w:t>16</w:t>
        </w:r>
      </w:hyperlink>
    </w:p>
    <w:p w14:paraId="1E8DFD87" w14:textId="77777777" w:rsidR="00115918" w:rsidRDefault="00000000">
      <w:pPr>
        <w:pStyle w:val="TM3"/>
        <w:tabs>
          <w:tab w:val="right" w:leader="dot" w:pos="880"/>
        </w:tabs>
      </w:pPr>
      <w:hyperlink r:id="rId23" w:history="1">
        <w:r>
          <w:rPr>
            <w:rStyle w:val="Lienhypertexte"/>
            <w:rFonts w:ascii="Times New Roman" w:hAnsi="Times New Roman"/>
            <w:b/>
          </w:rPr>
          <w:t>B.</w:t>
        </w:r>
        <w:r>
          <w:rPr>
            <w:rFonts w:eastAsia="Times New Roman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  <w:rFonts w:ascii="Times New Roman" w:hAnsi="Times New Roman"/>
            <w:b/>
          </w:rPr>
          <w:t>Axe « Toyota CFAO - Pharmacie Palm Beach »</w:t>
        </w:r>
        <w:r>
          <w:tab/>
          <w:t>18</w:t>
        </w:r>
      </w:hyperlink>
    </w:p>
    <w:p w14:paraId="4843DF63" w14:textId="77777777" w:rsidR="00115918" w:rsidRDefault="00000000">
      <w:pPr>
        <w:pStyle w:val="TM3"/>
        <w:tabs>
          <w:tab w:val="right" w:leader="dot" w:pos="880"/>
        </w:tabs>
      </w:pPr>
      <w:hyperlink r:id="rId24" w:history="1">
        <w:r>
          <w:rPr>
            <w:rStyle w:val="Lienhypertexte"/>
            <w:rFonts w:ascii="Times New Roman" w:hAnsi="Times New Roman"/>
            <w:b/>
          </w:rPr>
          <w:t>C.</w:t>
        </w:r>
        <w:r>
          <w:rPr>
            <w:rFonts w:eastAsia="Times New Roman"/>
            <w:kern w:val="3"/>
            <w:sz w:val="24"/>
            <w:szCs w:val="24"/>
            <w:lang w:eastAsia="fr-FR"/>
          </w:rPr>
          <w:tab/>
        </w:r>
        <w:r>
          <w:rPr>
            <w:rStyle w:val="Lienhypertexte"/>
            <w:rFonts w:ascii="Times New Roman" w:hAnsi="Times New Roman"/>
            <w:b/>
          </w:rPr>
          <w:t>Axe « Agence SODECI - Pharmacie Palm Beach »</w:t>
        </w:r>
        <w:r>
          <w:tab/>
          <w:t>19</w:t>
        </w:r>
      </w:hyperlink>
    </w:p>
    <w:p w14:paraId="6EDDAD68" w14:textId="77777777" w:rsidR="00115918" w:rsidRDefault="00000000">
      <w:pPr>
        <w:pStyle w:val="TM2"/>
        <w:tabs>
          <w:tab w:val="right" w:leader="dot" w:pos="660"/>
        </w:tabs>
      </w:pPr>
      <w:hyperlink r:id="rId25" w:history="1">
        <w:r>
          <w:rPr>
            <w:rStyle w:val="Lienhypertexte"/>
          </w:rPr>
          <w:t>CONCLUSION ET RECOMMANDATIONS</w:t>
        </w:r>
        <w:r>
          <w:tab/>
          <w:t>22</w:t>
        </w:r>
      </w:hyperlink>
    </w:p>
    <w:p w14:paraId="495263D2" w14:textId="77777777" w:rsidR="00115918" w:rsidRDefault="00000000">
      <w:pPr>
        <w:pStyle w:val="TM2"/>
        <w:tabs>
          <w:tab w:val="right" w:leader="dot" w:pos="660"/>
        </w:tabs>
      </w:pPr>
      <w:hyperlink r:id="rId26" w:history="1">
        <w:r>
          <w:rPr>
            <w:rStyle w:val="Lienhypertexte"/>
          </w:rPr>
          <w:t>ANNEXES</w:t>
        </w:r>
        <w:r>
          <w:tab/>
        </w:r>
        <w:bookmarkStart w:id="0" w:name="_Hlt234055847"/>
        <w:bookmarkStart w:id="1" w:name="_Hlt234055848"/>
        <w:r>
          <w:t>25</w:t>
        </w:r>
        <w:bookmarkEnd w:id="0"/>
        <w:bookmarkEnd w:id="1"/>
      </w:hyperlink>
    </w:p>
    <w:p w14:paraId="78CC3EA3" w14:textId="77777777" w:rsidR="00115918" w:rsidRDefault="00000000">
      <w:r>
        <w:rPr>
          <w:rFonts w:ascii="Times New Roman" w:hAnsi="Times New Roman"/>
          <w:b/>
          <w:bCs/>
          <w:lang w:val="fr-FR"/>
        </w:rPr>
        <w:fldChar w:fldCharType="end"/>
      </w:r>
    </w:p>
    <w:p>
      <w:r>
        <w:br w:type="page"/>
      </w:r>
    </w:p>
    <w:p>
      <w:pPr>
        <w:pStyle w:val="Titre1"/>
        <w:spacing w:before="360" w:after="200"/>
      </w:pPr>
      <w:r>
        <w:rPr>
          <w:rFonts w:ascii="Garamond" w:hAnsi="Garamond"/>
        </w:rPr>
        <w:t>BIENVENUE DANS FLOWPORT</w:t>
      </w:r>
    </w:p>
    <w:p>
      <w:pPr>
        <w:spacing w:after="160" w:line="276" w:lineRule="auto"/>
        <w:jc w:val="both"/>
      </w:pPr>
      <w:r>
        <w:rPr>
          <w:rFonts w:ascii="Garamond" w:hAnsi="Garamond"/>
          <w:b w:val="0"/>
          <w:i w:val="0"/>
          <w:sz w:val="24"/>
        </w:rPr>
        <w:t>FlowPort vous donne, en temps réel et en continu, l'état de la circulation sur les trois axes stratégiques d'accès au Port Autonome d'Abidjan : CARENA, Toyota CFAO et Agence SODECI, tous mesurés dans les deux sens toutes les 5 minutes, 24 h/24. Ce guide couvre l'intégralité des fonctions, par profil d'utilisateur.</w:t>
      </w:r>
    </w:p>
    <w:p>
      <w:pPr>
        <w:spacing w:after="80" w:line="276" w:lineRule="auto"/>
        <w:jc w:val="left"/>
      </w:pPr>
      <w:r>
        <w:rPr>
          <w:rFonts w:ascii="Garamond" w:hAnsi="Garamond"/>
          <w:b w:val="0"/>
          <w:i/>
          <w:color w:val="595959"/>
          <w:sz w:val="20"/>
        </w:rPr>
        <w:t>Tableau 1 — Les trois profils. La connexion se fait par le bouton « Connexion » (icône cadenas).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9CDDC"/>
          <w:left w:val="single" w:sz="4" w:color="B9CDDC"/>
          <w:bottom w:val="single" w:sz="4" w:color="B9CDDC"/>
          <w:right w:val="single" w:sz="4" w:color="B9CDDC"/>
          <w:insideH w:val="single" w:sz="4" w:color="B9CDDC"/>
          <w:insideV w:val="single" w:sz="4" w:color="B9CDDC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0E4C74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20"/>
              </w:rPr>
              <w:t>Profil</w:t>
            </w:r>
          </w:p>
        </w:tc>
        <w:tc>
          <w:tcPr>
            <w:tcW w:type="dxa" w:w="3024"/>
            <w:shd w:val="clear" w:fill="0E4C74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20"/>
              </w:rPr>
              <w:t>Accès</w:t>
            </w:r>
          </w:p>
        </w:tc>
        <w:tc>
          <w:tcPr>
            <w:tcW w:type="dxa" w:w="3024"/>
            <w:shd w:val="clear" w:fill="0E4C74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20"/>
              </w:rPr>
              <w:t>Pages disponibles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Garamond" w:hAnsi="Garamond"/>
                <w:b/>
                <w:i w:val="0"/>
                <w:sz w:val="20"/>
              </w:rPr>
              <w:t>Visiteur (public)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Garamond" w:hAnsi="Garamond"/>
                <w:b w:val="0"/>
                <w:i w:val="0"/>
                <w:sz w:val="20"/>
              </w:rPr>
              <w:t>Aucun compte requis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Garamond" w:hAnsi="Garamond"/>
                <w:b w:val="0"/>
                <w:i w:val="0"/>
                <w:sz w:val="20"/>
              </w:rPr>
              <w:t>Dashboard · IA FlowPort · Méthodologie</w:t>
            </w:r>
          </w:p>
        </w:tc>
      </w:tr>
      <w:tr>
        <w:tc>
          <w:tcPr>
            <w:tcW w:type="dxa" w:w="3024"/>
            <w:shd w:val="clear" w:fill="E8F3FA"/>
          </w:tcPr>
          <w:p>
            <w:pPr>
              <w:jc w:val="left"/>
            </w:pPr>
            <w:r>
              <w:rPr>
                <w:rFonts w:ascii="Garamond" w:hAnsi="Garamond"/>
                <w:b/>
                <w:i w:val="0"/>
                <w:sz w:val="20"/>
              </w:rPr>
              <w:t>Utilisateur connecté</w:t>
            </w:r>
          </w:p>
        </w:tc>
        <w:tc>
          <w:tcPr>
            <w:tcW w:type="dxa" w:w="3024"/>
            <w:shd w:val="clear" w:fill="E8F3FA"/>
          </w:tcPr>
          <w:p>
            <w:pPr>
              <w:jc w:val="left"/>
            </w:pPr>
            <w:r>
              <w:rPr>
                <w:rFonts w:ascii="Garamond" w:hAnsi="Garamond"/>
                <w:b w:val="0"/>
                <w:i w:val="0"/>
                <w:sz w:val="20"/>
              </w:rPr>
              <w:t>Compte créé par un administrateur</w:t>
            </w:r>
          </w:p>
        </w:tc>
        <w:tc>
          <w:tcPr>
            <w:tcW w:type="dxa" w:w="3024"/>
            <w:shd w:val="clear" w:fill="E8F3FA"/>
          </w:tcPr>
          <w:p>
            <w:pPr>
              <w:jc w:val="left"/>
            </w:pPr>
            <w:r>
              <w:rPr>
                <w:rFonts w:ascii="Garamond" w:hAnsi="Garamond"/>
                <w:b w:val="0"/>
                <w:i w:val="0"/>
                <w:sz w:val="20"/>
              </w:rPr>
              <w:t>+ Graphiques · Rapports · Export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Garamond" w:hAnsi="Garamond"/>
                <w:b/>
                <w:i w:val="0"/>
                <w:sz w:val="20"/>
              </w:rPr>
              <w:t>Administrateur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Garamond" w:hAnsi="Garamond"/>
                <w:b w:val="0"/>
                <w:i w:val="0"/>
                <w:sz w:val="20"/>
              </w:rPr>
              <w:t>Compte avec rôle administrateur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Garamond" w:hAnsi="Garamond"/>
                <w:b w:val="0"/>
                <w:i w:val="0"/>
                <w:sz w:val="20"/>
              </w:rPr>
              <w:t>+ Administration (axes, tronçons, seuils, utilisateurs, notifications)</w:t>
            </w:r>
          </w:p>
        </w:tc>
      </w:tr>
    </w:tbl>
    <w:p>
      <w:pPr>
        <w:spacing w:after="120" w:line="276" w:lineRule="auto"/>
        <w:jc w:val="both"/>
      </w:pPr>
      <w:r>
        <w:rPr>
          <w:rFonts w:ascii="Garamond" w:hAnsi="Garamond"/>
          <w:b w:val="0"/>
          <w:i w:val="0"/>
          <w:sz w:val="24"/>
        </w:rPr>
      </w:r>
    </w:p>
    <w:p>
      <w:pPr>
        <w:pStyle w:val="Titre2"/>
        <w:spacing w:before="280" w:after="160"/>
      </w:pPr>
      <w:r>
        <w:rPr>
          <w:rFonts w:ascii="Garamond" w:hAnsi="Garamond"/>
        </w:rPr>
        <w:t>1. Accéder à l’application</w:t>
      </w:r>
    </w:p>
    <w:p>
      <w:pPr>
        <w:spacing w:after="80" w:line="276" w:lineRule="auto"/>
        <w:ind w:left="280"/>
        <w:jc w:val="both"/>
      </w:pPr>
      <w:r>
        <w:rPr>
          <w:rFonts w:ascii="Garamond" w:hAnsi="Garamond"/>
          <w:b w:val="0"/>
          <w:i w:val="0"/>
          <w:sz w:val="24"/>
        </w:rPr>
        <w:t xml:space="preserve">–  </w:t>
      </w:r>
      <w:r>
        <w:rPr>
          <w:rFonts w:ascii="Garamond" w:hAnsi="Garamond"/>
          <w:b/>
          <w:i w:val="0"/>
          <w:sz w:val="24"/>
        </w:rPr>
        <w:t xml:space="preserve">Depuis un navigateur : </w:t>
      </w:r>
      <w:r>
        <w:rPr>
          <w:rFonts w:ascii="Garamond" w:hAnsi="Garamond"/>
          <w:b w:val="0"/>
          <w:i w:val="0"/>
          <w:sz w:val="24"/>
        </w:rPr>
        <w:t>rendez-vous sur l'adresse de l'application (portflow-46738.web.app). Elle fonctionne sur ordinateur, tablette et téléphone — l'interface s'adapte automatiquement.</w:t>
      </w:r>
    </w:p>
    <w:p>
      <w:pPr>
        <w:spacing w:after="80" w:line="276" w:lineRule="auto"/>
        <w:ind w:left="280"/>
        <w:jc w:val="both"/>
      </w:pPr>
      <w:r>
        <w:rPr>
          <w:rFonts w:ascii="Garamond" w:hAnsi="Garamond"/>
          <w:b w:val="0"/>
          <w:i w:val="0"/>
          <w:sz w:val="24"/>
        </w:rPr>
        <w:t xml:space="preserve">–  </w:t>
      </w:r>
      <w:r>
        <w:rPr>
          <w:rFonts w:ascii="Garamond" w:hAnsi="Garamond"/>
          <w:b/>
          <w:i w:val="0"/>
          <w:sz w:val="24"/>
        </w:rPr>
        <w:t xml:space="preserve">Installer sur ordinateur : </w:t>
      </w:r>
      <w:r>
        <w:rPr>
          <w:rFonts w:ascii="Garamond" w:hAnsi="Garamond"/>
          <w:b w:val="0"/>
          <w:i w:val="0"/>
          <w:sz w:val="24"/>
        </w:rPr>
        <w:t>cliquez sur « Installer l'application » en bas du menu latéral (Chrome ou Edge). FlowPort s'ouvre alors dans sa propre fenêtre, avec un raccourci sur le Bureau et dans le menu Démarrer.</w:t>
      </w:r>
    </w:p>
    <w:p>
      <w:pPr>
        <w:spacing w:after="80" w:line="276" w:lineRule="auto"/>
        <w:ind w:left="280"/>
        <w:jc w:val="both"/>
      </w:pPr>
      <w:r>
        <w:rPr>
          <w:rFonts w:ascii="Garamond" w:hAnsi="Garamond"/>
          <w:b w:val="0"/>
          <w:i w:val="0"/>
          <w:sz w:val="24"/>
        </w:rPr>
        <w:t xml:space="preserve">–  </w:t>
      </w:r>
      <w:r>
        <w:rPr>
          <w:rFonts w:ascii="Garamond" w:hAnsi="Garamond"/>
          <w:b/>
          <w:i w:val="0"/>
          <w:sz w:val="24"/>
        </w:rPr>
        <w:t xml:space="preserve">Installer sur Android : </w:t>
      </w:r>
      <w:r>
        <w:rPr>
          <w:rFonts w:ascii="Garamond" w:hAnsi="Garamond"/>
          <w:b w:val="0"/>
          <w:i w:val="0"/>
          <w:sz w:val="24"/>
        </w:rPr>
        <w:t>bouton « Installer » dans l'en-tête — l'icône FlowPort apparaît sur l'écran d'accueil.</w:t>
      </w:r>
    </w:p>
    <w:p>
      <w:pPr>
        <w:spacing w:after="80" w:line="276" w:lineRule="auto"/>
        <w:ind w:left="280"/>
        <w:jc w:val="both"/>
      </w:pPr>
      <w:r>
        <w:rPr>
          <w:rFonts w:ascii="Garamond" w:hAnsi="Garamond"/>
          <w:b w:val="0"/>
          <w:i w:val="0"/>
          <w:sz w:val="24"/>
        </w:rPr>
        <w:t xml:space="preserve">–  </w:t>
      </w:r>
      <w:r>
        <w:rPr>
          <w:rFonts w:ascii="Garamond" w:hAnsi="Garamond"/>
          <w:b/>
          <w:i w:val="0"/>
          <w:sz w:val="24"/>
        </w:rPr>
        <w:t xml:space="preserve">Installer sur iPhone/iPad : </w:t>
      </w:r>
      <w:r>
        <w:rPr>
          <w:rFonts w:ascii="Garamond" w:hAnsi="Garamond"/>
          <w:b w:val="0"/>
          <w:i w:val="0"/>
          <w:sz w:val="24"/>
        </w:rPr>
        <w:t>bouton « Installer » puis suivez le guide affiché : Partager (carré avec flèche) → « Sur l'écran d'accueil » → Confirmer.</w:t>
      </w:r>
    </w:p>
    <w:p>
      <w:pPr>
        <w:pStyle w:val="Titre2"/>
        <w:spacing w:before="280" w:after="160"/>
      </w:pPr>
      <w:r>
        <w:rPr>
          <w:rFonts w:ascii="Garamond" w:hAnsi="Garamond"/>
        </w:rPr>
        <w:t>2. Se connecter et naviguer</w:t>
      </w:r>
    </w:p>
    <w:p>
      <w:pPr>
        <w:spacing w:after="160" w:line="276" w:lineRule="auto"/>
        <w:jc w:val="both"/>
      </w:pPr>
      <w:r>
        <w:rPr>
          <w:rFonts w:ascii="Garamond" w:hAnsi="Garamond"/>
          <w:b w:val="0"/>
          <w:i w:val="0"/>
          <w:sz w:val="24"/>
        </w:rPr>
        <w:t>Sur ordinateur, un rail latéral porte le bouton menu (☰) : cliquez-le pour ouvrir le tiroir de navigation (il se referme après votre choix, d'un clic sur ✕ ou à côté). Sur téléphone, la navigation est en bas d'écran. Pour vous connecter : bouton « Connexion » → adresse email et mot de passe fournis par votre administrateur (l'icône œil affiche/masque le mot de passe). Le bouton rouge « Déconnexion » se trouve au même endroit.</w:t>
      </w:r>
    </w:p>
    <w:p>
      <w:r>
        <w:br w:type="page"/>
      </w:r>
    </w:p>
    <w:p>
      <w:pPr>
        <w:pStyle w:val="Titre1"/>
        <w:spacing w:before="360" w:after="200"/>
      </w:pPr>
      <w:r>
        <w:rPr>
          <w:rFonts w:ascii="Garamond" w:hAnsi="Garamond"/>
        </w:rPr>
        <w:t>I. LE TABLEAU DE BORD</w:t>
      </w:r>
    </w:p>
    <w:p>
      <w:pPr>
        <w:spacing w:before="120" w:after="40"/>
        <w:jc w:val="center"/>
        <w:pBdr>
          <w:top w:val="single" w:sz="4" w:space="4" w:color="B9CDDC"/>
          <w:left w:val="single" w:sz="4" w:space="4" w:color="B9CDDC"/>
          <w:bottom w:val="single" w:sz="4" w:space="4" w:color="B9CDDC"/>
          <w:right w:val="single" w:sz="4" w:space="4" w:color="B9CDDC"/>
        </w:pBdr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827121789" name="Picture 1827121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Garamond" w:hAnsi="Garamond"/>
          <w:b w:val="0"/>
          <w:i/>
          <w:color w:val="595959"/>
          <w:sz w:val="20"/>
        </w:rPr>
        <w:t>Figure 1 — Le tableau de bord : ① le bandeau et le badge « EN DIRECT », ② les cinq indicateurs, ③ la carte des axes et tronçons, ④ le panneau des alertes et de l’état des axes. Le bouton ☰ en haut à gauche ouvre le menu.</w:t>
      </w:r>
    </w:p>
    <w:p>
      <w:pPr>
        <w:pStyle w:val="Titre2"/>
        <w:spacing w:before="280" w:after="160"/>
      </w:pPr>
      <w:r>
        <w:rPr>
          <w:rFonts w:ascii="Garamond" w:hAnsi="Garamond"/>
        </w:rPr>
        <w:t>1. Lire l’état du réseau en 10 secondes</w:t>
      </w:r>
    </w:p>
    <w:p>
      <w:pPr>
        <w:spacing w:after="80" w:line="276" w:lineRule="auto"/>
        <w:ind w:left="280"/>
        <w:jc w:val="both"/>
      </w:pPr>
      <w:r>
        <w:rPr>
          <w:rFonts w:ascii="Garamond" w:hAnsi="Garamond"/>
          <w:b w:val="0"/>
          <w:i w:val="0"/>
          <w:sz w:val="24"/>
        </w:rPr>
        <w:t xml:space="preserve">–  </w:t>
      </w:r>
      <w:r>
        <w:rPr>
          <w:rFonts w:ascii="Garamond" w:hAnsi="Garamond"/>
          <w:b/>
          <w:i w:val="0"/>
          <w:sz w:val="24"/>
        </w:rPr>
        <w:t xml:space="preserve">Le bandeau du haut : </w:t>
      </w:r>
      <w:r>
        <w:rPr>
          <w:rFonts w:ascii="Garamond" w:hAnsi="Garamond"/>
          <w:b w:val="0"/>
          <w:i w:val="0"/>
          <w:sz w:val="24"/>
        </w:rPr>
        <w:t>photos du port en diaporama (points cliquables), badge de fraîcheur — « EN DIRECT » (vert) signifie une donnée de moins de 3 minutes ; s'il annonce une synchronisation ralentie ou interrompue, les données affichées datent de l'heure indiquée. « Réseau : Fluide/Ralenti… » résume l'état global. Le bouton « Actualiser » force une mesure immédiate.</w:t>
      </w:r>
    </w:p>
    <w:p>
      <w:pPr>
        <w:spacing w:after="80" w:line="276" w:lineRule="auto"/>
        <w:ind w:left="280"/>
        <w:jc w:val="both"/>
      </w:pPr>
      <w:r>
        <w:rPr>
          <w:rFonts w:ascii="Garamond" w:hAnsi="Garamond"/>
          <w:b w:val="0"/>
          <w:i w:val="0"/>
          <w:sz w:val="24"/>
        </w:rPr>
        <w:t xml:space="preserve">–  </w:t>
      </w:r>
      <w:r>
        <w:rPr>
          <w:rFonts w:ascii="Garamond" w:hAnsi="Garamond"/>
          <w:b/>
          <w:i w:val="0"/>
          <w:sz w:val="24"/>
        </w:rPr>
        <w:t xml:space="preserve">Les cinq indicateurs : </w:t>
      </w:r>
      <w:r>
        <w:rPr>
          <w:rFonts w:ascii="Garamond" w:hAnsi="Garamond"/>
          <w:b w:val="0"/>
          <w:i w:val="0"/>
          <w:sz w:val="24"/>
        </w:rPr>
        <w:t>Temps moyen (tous axes) · Tronçon critique (le point noir du moment — ou « Aucun tronçon critique » sur badge vert si tout va bien) · Meilleur axe (l'itinéraire à privilégier) · Usagers en direct · Vitesse moyenne. La pastille en haut à droite de chaque carte reflète la fraîcheur de la donnée.</w:t>
      </w:r>
    </w:p>
    <w:p>
      <w:pPr>
        <w:pStyle w:val="Titre2"/>
        <w:spacing w:before="280" w:after="160"/>
      </w:pPr>
      <w:r>
        <w:rPr>
          <w:rFonts w:ascii="Garamond" w:hAnsi="Garamond"/>
        </w:rPr>
        <w:t>2. Utiliser la carte</w:t>
      </w:r>
    </w:p>
    <w:p>
      <w:pPr>
        <w:spacing w:after="80" w:line="276" w:lineRule="auto"/>
        <w:ind w:left="280"/>
        <w:jc w:val="both"/>
      </w:pPr>
      <w:r>
        <w:rPr>
          <w:rFonts w:ascii="Garamond" w:hAnsi="Garamond"/>
          <w:b w:val="0"/>
          <w:i w:val="0"/>
          <w:sz w:val="24"/>
        </w:rPr>
        <w:t xml:space="preserve">–  </w:t>
      </w:r>
      <w:r>
        <w:rPr>
          <w:rFonts w:ascii="Garamond" w:hAnsi="Garamond"/>
          <w:b/>
          <w:i w:val="0"/>
          <w:sz w:val="24"/>
        </w:rPr>
        <w:t xml:space="preserve">Couleurs : </w:t>
      </w:r>
      <w:r>
        <w:rPr>
          <w:rFonts w:ascii="Garamond" w:hAnsi="Garamond"/>
          <w:b w:val="0"/>
          <w:i w:val="0"/>
          <w:sz w:val="24"/>
        </w:rPr>
        <w:t>chaque axe et chaque tronçon est coloré selon son niveau : vert (fluide/bon), jaune (ralenti), orange (congestionné), rouge (très congestionné) — légende sous la carte. Le trait plein est le sens aller, le pointillé le sens retour.</w:t>
      </w:r>
    </w:p>
    <w:p>
      <w:pPr>
        <w:spacing w:after="80" w:line="276" w:lineRule="auto"/>
        <w:ind w:left="280"/>
        <w:jc w:val="both"/>
      </w:pPr>
      <w:r>
        <w:rPr>
          <w:rFonts w:ascii="Garamond" w:hAnsi="Garamond"/>
          <w:b w:val="0"/>
          <w:i w:val="0"/>
          <w:sz w:val="24"/>
        </w:rPr>
        <w:t xml:space="preserve">–  </w:t>
      </w:r>
      <w:r>
        <w:rPr>
          <w:rFonts w:ascii="Garamond" w:hAnsi="Garamond"/>
          <w:b/>
          <w:i w:val="0"/>
          <w:sz w:val="24"/>
        </w:rPr>
        <w:t xml:space="preserve">Voir un axe complet : </w:t>
      </w:r>
      <w:r>
        <w:rPr>
          <w:rFonts w:ascii="Garamond" w:hAnsi="Garamond"/>
          <w:b w:val="0"/>
          <w:i w:val="0"/>
          <w:sz w:val="24"/>
        </w:rPr>
        <w:t>cliquez la pastille à son départ (« ▶ CARENA ») : la carte se centre sur l'axe et le panneau de droite affiche ses indicateurs détaillés, aller et retour (temps, vitesse, retard, ratio). Re-cliquez pour refermer.</w:t>
      </w:r>
    </w:p>
    <w:p>
      <w:pPr>
        <w:spacing w:after="80" w:line="276" w:lineRule="auto"/>
        <w:ind w:left="280"/>
        <w:jc w:val="both"/>
      </w:pPr>
      <w:r>
        <w:rPr>
          <w:rFonts w:ascii="Garamond" w:hAnsi="Garamond"/>
          <w:b w:val="0"/>
          <w:i w:val="0"/>
          <w:sz w:val="24"/>
        </w:rPr>
        <w:t xml:space="preserve">–  </w:t>
      </w:r>
      <w:r>
        <w:rPr>
          <w:rFonts w:ascii="Garamond" w:hAnsi="Garamond"/>
          <w:b/>
          <w:i w:val="0"/>
          <w:sz w:val="24"/>
        </w:rPr>
        <w:t xml:space="preserve">Inspecter un tronçon : </w:t>
      </w:r>
      <w:r>
        <w:rPr>
          <w:rFonts w:ascii="Garamond" w:hAnsi="Garamond"/>
          <w:b w:val="0"/>
          <w:i w:val="0"/>
          <w:sz w:val="24"/>
        </w:rPr>
        <w:t>cliquez son trait ou ses étiquettes (T1A ▶) : un popup donne ses indicateurs propres — vitesse, temps estimé, retard et ratio, calculés au prorata de sa longueur.</w:t>
      </w:r>
    </w:p>
    <w:p>
      <w:pPr>
        <w:spacing w:after="80" w:line="276" w:lineRule="auto"/>
        <w:ind w:left="280"/>
        <w:jc w:val="both"/>
      </w:pPr>
      <w:r>
        <w:rPr>
          <w:rFonts w:ascii="Garamond" w:hAnsi="Garamond"/>
          <w:b w:val="0"/>
          <w:i w:val="0"/>
          <w:sz w:val="24"/>
        </w:rPr>
        <w:t xml:space="preserve">–  </w:t>
      </w:r>
      <w:r>
        <w:rPr>
          <w:rFonts w:ascii="Garamond" w:hAnsi="Garamond"/>
          <w:b/>
          <w:i w:val="0"/>
          <w:sz w:val="24"/>
        </w:rPr>
        <w:t xml:space="preserve">Prévisions : </w:t>
      </w:r>
      <w:r>
        <w:rPr>
          <w:rFonts w:ascii="Garamond" w:hAnsi="Garamond"/>
          <w:b w:val="0"/>
          <w:i w:val="0"/>
          <w:sz w:val="24"/>
        </w:rPr>
        <w:t>le commutateur « Temps réel / Prévisions ML » en haut de carte colore les axes selon le niveau prévu par le modèle pour l'heure courante, avec temps prévu et confiance dans les popups.</w:t>
      </w:r>
    </w:p>
    <w:p>
      <w:pPr>
        <w:pStyle w:val="Titre2"/>
        <w:spacing w:before="280" w:after="160"/>
      </w:pPr>
      <w:r>
        <w:rPr>
          <w:rFonts w:ascii="Garamond" w:hAnsi="Garamond"/>
        </w:rPr>
        <w:t>3. Estimer votre trajet (« Mon trajet »)</w:t>
      </w:r>
    </w:p>
    <w:p>
      <w:pPr>
        <w:spacing w:after="160" w:line="276" w:lineRule="auto"/>
        <w:jc w:val="both"/>
      </w:pPr>
      <w:r>
        <w:rPr>
          <w:rFonts w:ascii="Garamond" w:hAnsi="Garamond"/>
          <w:b w:val="0"/>
          <w:i w:val="0"/>
          <w:sz w:val="24"/>
        </w:rPr>
        <w:t>Acceptez la géolocalisation (bannière de consentement — vos positions sont anonymes et disparaissent après 5 minutes), puis tapez votre destination dans le champ « Destination » : FlowPort trace l'itinéraire et affiche votre heure d'arrivée estimée, actualisée en route. Le panneau « Alertes actives » liste en permanence les axes dégradés.</w:t>
      </w:r>
    </w:p>
    <w:p>
      <w:pPr>
        <w:pStyle w:val="Titre1"/>
        <w:spacing w:before="360" w:after="200"/>
      </w:pPr>
      <w:r>
        <w:rPr>
          <w:rFonts w:ascii="Garamond" w:hAnsi="Garamond"/>
        </w:rPr>
        <w:t>II. LES GRAPHIQUES (connecté)</w:t>
      </w:r>
    </w:p>
    <w:p>
      <w:pPr>
        <w:pStyle w:val="Titre2"/>
        <w:spacing w:before="280" w:after="160"/>
      </w:pPr>
      <w:r>
        <w:rPr>
          <w:rFonts w:ascii="Garamond" w:hAnsi="Garamond"/>
        </w:rPr>
        <w:t>1. Temps de traversée moyen par heure</w:t>
      </w:r>
    </w:p>
    <w:p>
      <w:pPr>
        <w:spacing w:after="160" w:line="276" w:lineRule="auto"/>
        <w:jc w:val="both"/>
      </w:pPr>
      <w:r>
        <w:rPr>
          <w:rFonts w:ascii="Garamond" w:hAnsi="Garamond"/>
          <w:b w:val="0"/>
          <w:i w:val="0"/>
          <w:sz w:val="24"/>
        </w:rPr>
        <w:t>La courbe des trois axes sur les dernières 24 heures : l'axe du temps se termine à l'heure actuelle (dernier point accentué = maintenant) et avance tout seul. Basculez Aller/Retour, filtrez par axe, survolez pour les valeurs précises.</w:t>
      </w:r>
    </w:p>
    <w:p>
      <w:pPr>
        <w:pStyle w:val="Titre2"/>
        <w:spacing w:before="280" w:after="160"/>
      </w:pPr>
      <w:r>
        <w:rPr>
          <w:rFonts w:ascii="Garamond" w:hAnsi="Garamond"/>
        </w:rPr>
        <w:t>2. Minimum · Moyenne · Maximum par axe</w:t>
      </w:r>
    </w:p>
    <w:p>
      <w:pPr>
        <w:spacing w:after="160" w:line="276" w:lineRule="auto"/>
        <w:jc w:val="both"/>
      </w:pPr>
      <w:r>
        <w:rPr>
          <w:rFonts w:ascii="Garamond" w:hAnsi="Garamond"/>
          <w:b w:val="0"/>
          <w:i w:val="0"/>
          <w:sz w:val="24"/>
        </w:rPr>
        <w:t>Trois barres par axe résument la plage des temps observés. Choisissez la fenêtre : 24 h, 7 jours ou 30 jours — la légende indique la profondeur d'historique disponible. L'infobulle donne le nombre de mesures et l'écart à la référence.</w:t>
      </w:r>
    </w:p>
    <w:p>
      <w:pPr>
        <w:pStyle w:val="Titre2"/>
        <w:spacing w:before="280" w:after="160"/>
      </w:pPr>
      <w:r>
        <w:rPr>
          <w:rFonts w:ascii="Garamond" w:hAnsi="Garamond"/>
        </w:rPr>
        <w:t>3. Répartition par niveau</w:t>
      </w:r>
    </w:p>
    <w:p>
      <w:pPr>
        <w:spacing w:after="160" w:line="276" w:lineRule="auto"/>
        <w:jc w:val="both"/>
      </w:pPr>
      <w:r>
        <w:rPr>
          <w:rFonts w:ascii="Garamond" w:hAnsi="Garamond"/>
          <w:b w:val="0"/>
          <w:i w:val="0"/>
          <w:sz w:val="24"/>
        </w:rPr>
        <w:t>L'anneau montre la part du temps passée dans chaque état (Fluide, Modéré, Dense, Congestionné) sur la fenêtre choisie, filtrable jours ouvrables / week-end. Astuce : un dimanche, la fenêtre 24 h ne contient aucun jour ouvrable — élargissez à 7 ou 30 jours.</w:t>
      </w:r>
    </w:p>
    <w:p>
      <w:pPr>
        <w:pStyle w:val="Titre2"/>
        <w:spacing w:before="280" w:after="160"/>
      </w:pPr>
      <w:r>
        <w:rPr>
          <w:rFonts w:ascii="Garamond" w:hAnsi="Garamond"/>
        </w:rPr>
        <w:t>4. Heatmap congestion — jour × heure</w:t>
      </w:r>
    </w:p>
    <w:p>
      <w:pPr>
        <w:spacing w:after="160" w:line="276" w:lineRule="auto"/>
        <w:jc w:val="both"/>
      </w:pPr>
      <w:r>
        <w:rPr>
          <w:rFonts w:ascii="Garamond" w:hAnsi="Garamond"/>
          <w:b w:val="0"/>
          <w:i w:val="0"/>
          <w:sz w:val="24"/>
        </w:rPr>
        <w:t>La grille croise les jours de la semaine et les heures (6h–22h) pour un axe et un sens : chaque cellule compare le trafic à la normale récente de ce créneau précis (references recalibrées chaque semaine — la date du calibrage est affichée). Vert = conforme ou meilleur ; jaune/orange/rouge = créneau anormalement chargé ; gris = pas encore de données. Cherchez les zones qui « chauffent » : ce sont les créneaux à éviter ou à réguler.</w:t>
      </w:r>
    </w:p>
    <w:p>
      <w:pPr>
        <w:pStyle w:val="Titre2"/>
        <w:spacing w:before="280" w:after="160"/>
      </w:pPr>
      <w:r>
        <w:rPr>
          <w:rFonts w:ascii="Garamond" w:hAnsi="Garamond"/>
        </w:rPr>
        <w:t>5. Exporter un graphique</w:t>
      </w:r>
    </w:p>
    <w:p>
      <w:pPr>
        <w:spacing w:after="160" w:line="276" w:lineRule="auto"/>
        <w:jc w:val="both"/>
      </w:pPr>
      <w:r>
        <w:rPr>
          <w:rFonts w:ascii="Garamond" w:hAnsi="Garamond"/>
          <w:b w:val="0"/>
          <w:i w:val="0"/>
          <w:sz w:val="24"/>
        </w:rPr>
        <w:t>Le bouton image (en haut à droite de chaque graphique) télécharge un PNG daté sur fond blanc, prêt pour vos présentations.</w:t>
      </w:r>
    </w:p>
    <w:p>
      <w:r>
        <w:br w:type="page"/>
      </w:r>
    </w:p>
    <w:p>
      <w:pPr>
        <w:pStyle w:val="Titre1"/>
        <w:spacing w:before="360" w:after="200"/>
      </w:pPr>
      <w:r>
        <w:rPr>
          <w:rFonts w:ascii="Garamond" w:hAnsi="Garamond"/>
        </w:rPr>
        <w:t>III. LES RAPPORTS OFFICIELS (connecté)</w:t>
      </w:r>
    </w:p>
    <w:p>
      <w:pPr>
        <w:pStyle w:val="Titre2"/>
        <w:spacing w:before="280" w:after="160"/>
      </w:pPr>
      <w:r>
        <w:rPr>
          <w:rFonts w:ascii="Garamond" w:hAnsi="Garamond"/>
        </w:rPr>
        <w:t>1. Générer un rapport</w:t>
      </w:r>
    </w:p>
    <w:p>
      <w:pPr>
        <w:spacing w:after="160" w:line="276" w:lineRule="auto"/>
        <w:jc w:val="both"/>
      </w:pPr>
      <w:r>
        <w:rPr>
          <w:rFonts w:ascii="Garamond" w:hAnsi="Garamond"/>
          <w:b w:val="0"/>
          <w:i w:val="0"/>
          <w:sz w:val="24"/>
        </w:rPr>
        <w:t>Choisissez le type (journalier, hebdomadaire, mensuel), la période (le rapport couvre la journée choisie, les 7 jours qui s'y terminent, ou son mois) puis « Générer le rapport ». Le rapport apparaît dans la liste « Rapports disponibles » avec le nombre de mesures réelles utilisées — il est enregistré durablement : vous le retrouverez après rechargement, avec son auteur et sa date, comme tous les rapports générés par vos collègues.</w:t>
      </w:r>
    </w:p>
    <w:p>
      <w:pPr>
        <w:pStyle w:val="Titre2"/>
        <w:spacing w:before="280" w:after="160"/>
      </w:pPr>
      <w:r>
        <w:rPr>
          <w:rFonts w:ascii="Garamond" w:hAnsi="Garamond"/>
        </w:rPr>
        <w:t>2. Télécharger (PDF, Word, Excel)</w:t>
      </w:r>
    </w:p>
    <w:p>
      <w:pPr>
        <w:spacing w:after="160" w:line="276" w:lineRule="auto"/>
        <w:jc w:val="both"/>
      </w:pPr>
      <w:r>
        <w:rPr>
          <w:rFonts w:ascii="Garamond" w:hAnsi="Garamond"/>
          <w:b w:val="0"/>
          <w:i w:val="0"/>
          <w:sz w:val="24"/>
        </w:rPr>
        <w:t>Trois boutons par rapport. Les trois formats contiennent exactement les mêmes chiffres et analyses : page de garde officielle, sommaire, résumé exécutif, méthodologie, résultats par indicateur puis par axe (tableau + graphique + interprétation), analyse transversale, recommandations, annexes. À l'ouverture du Word, acceptez la « mise à jour des champs » pour régénérer le sommaire. L'Excel contient une feuille par indicateur et les données brutes. La première préparation d'un rapport peut prendre quelques secondes (« Préparation… ») ; les téléchargements suivants sont instantanés.</w:t>
      </w:r>
    </w:p>
    <w:p>
      <w:pPr>
        <w:pStyle w:val="Titre2"/>
        <w:spacing w:before="280" w:after="160"/>
      </w:pPr>
      <w:r>
        <w:rPr>
          <w:rFonts w:ascii="Garamond" w:hAnsi="Garamond"/>
        </w:rPr>
        <w:t>3. Supprimer</w:t>
      </w:r>
    </w:p>
    <w:p>
      <w:pPr>
        <w:spacing w:after="160" w:line="276" w:lineRule="auto"/>
        <w:jc w:val="both"/>
      </w:pPr>
      <w:r>
        <w:rPr>
          <w:rFonts w:ascii="Garamond" w:hAnsi="Garamond"/>
          <w:b w:val="0"/>
          <w:i w:val="0"/>
          <w:sz w:val="24"/>
        </w:rPr>
        <w:t>L'icône corbeille retire le rapport du registre partagé (les fichiers déjà téléchargés ne sont pas affectés).</w:t>
      </w:r>
    </w:p>
    <w:p>
      <w:pPr>
        <w:pStyle w:val="Titre1"/>
        <w:spacing w:before="360" w:after="200"/>
      </w:pPr>
      <w:r>
        <w:rPr>
          <w:rFonts w:ascii="Garamond" w:hAnsi="Garamond"/>
        </w:rPr>
        <w:t>IV. L’EXPORT DE DONNEES (connecté)</w:t>
      </w:r>
    </w:p>
    <w:p>
      <w:pPr>
        <w:spacing w:after="160" w:line="276" w:lineRule="auto"/>
        <w:jc w:val="both"/>
      </w:pPr>
      <w:r>
        <w:rPr>
          <w:rFonts w:ascii="Garamond" w:hAnsi="Garamond"/>
          <w:b w:val="0"/>
          <w:i w:val="0"/>
          <w:sz w:val="24"/>
        </w:rPr>
        <w:t>Pour analyser les mesures dans vos propres outils : choisissez la source — Collecte auto (l'archive continue, avec période : aujourd'hui, 7 jours, 30 jours, tout), Snapshot live (l'instantané), ou Historique février 2025 (jeu d'étude) — puis l'axe, et le format CSV ou Excel. Le compteur annonce le volume ; « Aperçu des données » affiche les 8 premières lignes avec les colonnes exactes du fichier avant de télécharger.</w:t>
      </w:r>
    </w:p>
    <w:p>
      <w:pPr>
        <w:pStyle w:val="Titre1"/>
        <w:spacing w:before="360" w:after="200"/>
      </w:pPr>
      <w:r>
        <w:rPr>
          <w:rFonts w:ascii="Garamond" w:hAnsi="Garamond"/>
        </w:rPr>
        <w:t>V. L’ASSISTANT IA FLOWPORT</w:t>
      </w:r>
    </w:p>
    <w:p>
      <w:pPr>
        <w:pStyle w:val="Titre2"/>
        <w:spacing w:before="280" w:after="160"/>
      </w:pPr>
      <w:r>
        <w:rPr>
          <w:rFonts w:ascii="Garamond" w:hAnsi="Garamond"/>
        </w:rPr>
        <w:t>1. Poser une question</w:t>
      </w:r>
    </w:p>
    <w:p>
      <w:pPr>
        <w:spacing w:after="160" w:line="276" w:lineRule="auto"/>
        <w:jc w:val="both"/>
      </w:pPr>
      <w:r>
        <w:rPr>
          <w:rFonts w:ascii="Garamond" w:hAnsi="Garamond"/>
          <w:b w:val="0"/>
          <w:i w:val="0"/>
          <w:sz w:val="24"/>
        </w:rPr>
        <w:t>Depuis la page IA FlowPort ou le bouton flottant ✨ (présent sur toutes les pages — c'est la même conversation), posez vos questions en français : « Quel axe emprunter maintenant ? », « Pourquoi CARENA est-il en N3 ? », « Compare le trafic actuel à la normale ». L'assistant connaît les mesures en temps réel, l'historique des 7 derniers jours et les prévisions du jour — ses réponses citent les chiffres réels, jamais de généralités. Le micro permet la saisie vocale (navigateurs compatibles).</w:t>
      </w:r>
    </w:p>
    <w:p>
      <w:pPr>
        <w:pStyle w:val="Titre2"/>
        <w:spacing w:before="280" w:after="160"/>
      </w:pPr>
      <w:r>
        <w:rPr>
          <w:rFonts w:ascii="Garamond" w:hAnsi="Garamond"/>
        </w:rPr>
        <w:t>2. Recommandations automatiques et suggestions</w:t>
      </w:r>
    </w:p>
    <w:p>
      <w:pPr>
        <w:spacing w:after="160" w:line="276" w:lineRule="auto"/>
        <w:jc w:val="both"/>
      </w:pPr>
      <w:r>
        <w:rPr>
          <w:rFonts w:ascii="Garamond" w:hAnsi="Garamond"/>
          <w:b w:val="0"/>
          <w:i w:val="0"/>
          <w:sz w:val="24"/>
        </w:rPr>
        <w:t>En haut de la page IA, un panneau de recommandations opérationnelles se génère automatiquement à partir de l'état courant (bouton ↺ pour régénérer). Les quatre suggestions cliquables s'adaptent au réseau : un axe dégradé fait apparaître les questions pertinentes le concernant.</w:t>
      </w:r>
    </w:p>
    <w:p>
      <w:pPr>
        <w:spacing w:before="120" w:after="40"/>
        <w:jc w:val="center"/>
        <w:pBdr>
          <w:top w:val="single" w:sz="4" w:space="4" w:color="B9CDDC"/>
          <w:left w:val="single" w:sz="4" w:space="4" w:color="B9CDDC"/>
          <w:bottom w:val="single" w:sz="4" w:space="4" w:color="B9CDDC"/>
          <w:right w:val="single" w:sz="4" w:space="4" w:color="B9CDDC"/>
        </w:pBdr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827121790" name="Picture 1827121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Garamond" w:hAnsi="Garamond"/>
          <w:b w:val="0"/>
          <w:i/>
          <w:color w:val="595959"/>
          <w:sz w:val="20"/>
        </w:rPr>
        <w:t>Figure 2 — La page IA FlowPort : le panneau de recommandations automatiques, les suggestions cliquables, et un exemple de réponse chiffrée à la question « Quel axe emprunter pour rejoindre le port rapidement ? ».</w:t>
      </w:r>
    </w:p>
    <w:p>
      <w:pPr>
        <w:pStyle w:val="Titre1"/>
        <w:spacing w:before="360" w:after="200"/>
      </w:pPr>
      <w:r>
        <w:rPr>
          <w:rFonts w:ascii="Garamond" w:hAnsi="Garamond"/>
        </w:rPr>
        <w:t>VI. LA PAGE METHODOLOGIE</w:t>
      </w:r>
    </w:p>
    <w:p>
      <w:pPr>
        <w:spacing w:after="160" w:line="276" w:lineRule="auto"/>
        <w:jc w:val="both"/>
      </w:pPr>
      <w:r>
        <w:rPr>
          <w:rFonts w:ascii="Garamond" w:hAnsi="Garamond"/>
          <w:b w:val="0"/>
          <w:i w:val="0"/>
          <w:sz w:val="24"/>
        </w:rPr>
        <w:t>Accessible à tous en bas de la navigation, elle explique d'où viennent les données, comment sont calculés les niveaux, les références, les prévisions et les alertes — et documente honnêtement les limites du système. C'est la référence à partager avec toute personne qui découvre FlowPort.</w:t>
      </w:r>
    </w:p>
    <w:p>
      <w:pPr>
        <w:spacing w:before="120" w:after="40"/>
        <w:jc w:val="center"/>
        <w:pBdr>
          <w:top w:val="single" w:sz="4" w:space="4" w:color="B9CDDC"/>
          <w:left w:val="single" w:sz="4" w:space="4" w:color="B9CDDC"/>
          <w:bottom w:val="single" w:sz="4" w:space="4" w:color="B9CDDC"/>
          <w:right w:val="single" w:sz="4" w:space="4" w:color="B9CDDC"/>
        </w:pBdr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827121791" name="Picture 1827121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ologi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Garamond" w:hAnsi="Garamond"/>
          <w:b w:val="0"/>
          <w:i/>
          <w:color w:val="595959"/>
          <w:sz w:val="20"/>
        </w:rPr>
        <w:t>Figure 3 — La page Méthodologie : dispositif de mesure, tableau des axes surveillés et grille des niveaux N1→N5 avec leur lecture opérationnelle.</w:t>
      </w:r>
    </w:p>
    <w:p>
      <w:r>
        <w:br w:type="page"/>
      </w:r>
    </w:p>
    <w:p>
      <w:pPr>
        <w:pStyle w:val="Titre1"/>
        <w:spacing w:before="360" w:after="200"/>
      </w:pPr>
      <w:r>
        <w:rPr>
          <w:rFonts w:ascii="Garamond" w:hAnsi="Garamond"/>
        </w:rPr>
        <w:t>VII. LES NOTIFICATIONS PAR EMAIL</w:t>
      </w:r>
    </w:p>
    <w:p>
      <w:pPr>
        <w:spacing w:after="160" w:line="276" w:lineRule="auto"/>
        <w:jc w:val="both"/>
      </w:pPr>
      <w:r>
        <w:rPr>
          <w:rFonts w:ascii="Garamond" w:hAnsi="Garamond"/>
          <w:b w:val="0"/>
          <w:i w:val="0"/>
          <w:sz w:val="24"/>
        </w:rPr>
        <w:t>Si votre adresse est inscrite (Administration → Notifications), vous recevez selon vos cases cochées :</w:t>
      </w:r>
    </w:p>
    <w:p>
      <w:pPr>
        <w:spacing w:after="80" w:line="276" w:lineRule="auto"/>
        <w:jc w:val="left"/>
      </w:pPr>
      <w:r>
        <w:rPr>
          <w:rFonts w:ascii="Garamond" w:hAnsi="Garamond"/>
          <w:b w:val="0"/>
          <w:i/>
          <w:color w:val="595959"/>
          <w:sz w:val="20"/>
        </w:rPr>
        <w:t>Tableau 2 — Les emails FlowPort. Au premier email reçu, vérifiez le dossier Spam et marquez « Pas un spam ».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9CDDC"/>
          <w:left w:val="single" w:sz="4" w:color="B9CDDC"/>
          <w:bottom w:val="single" w:sz="4" w:color="B9CDDC"/>
          <w:right w:val="single" w:sz="4" w:color="B9CDDC"/>
          <w:insideH w:val="single" w:sz="4" w:color="B9CDDC"/>
          <w:insideV w:val="single" w:sz="4" w:color="B9CDDC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0E4C74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20"/>
              </w:rPr>
              <w:t>Email</w:t>
            </w:r>
          </w:p>
        </w:tc>
        <w:tc>
          <w:tcPr>
            <w:tcW w:type="dxa" w:w="3024"/>
            <w:shd w:val="clear" w:fill="0E4C74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20"/>
              </w:rPr>
              <w:t>Quand</w:t>
            </w:r>
          </w:p>
        </w:tc>
        <w:tc>
          <w:tcPr>
            <w:tcW w:type="dxa" w:w="3024"/>
            <w:shd w:val="clear" w:fill="0E4C74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20"/>
              </w:rPr>
              <w:t>Ce qu’il faut en faire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Garamond" w:hAnsi="Garamond"/>
                <w:b/>
                <w:i w:val="0"/>
                <w:sz w:val="20"/>
              </w:rPr>
              <w:t>🔴 ALERTE trafic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Garamond" w:hAnsi="Garamond"/>
                <w:b w:val="0"/>
                <w:i w:val="0"/>
                <w:sz w:val="20"/>
              </w:rPr>
              <w:t>Un axe passe congestionné (N4+), confirmé ~10 min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Garamond" w:hAnsi="Garamond"/>
                <w:b w:val="0"/>
                <w:i w:val="0"/>
                <w:sz w:val="20"/>
              </w:rPr>
              <w:t>Agir : régulation, information des transporteurs, report des rotations</w:t>
            </w:r>
          </w:p>
        </w:tc>
      </w:tr>
      <w:tr>
        <w:tc>
          <w:tcPr>
            <w:tcW w:type="dxa" w:w="3024"/>
            <w:shd w:val="clear" w:fill="E8F3FA"/>
          </w:tcPr>
          <w:p>
            <w:pPr>
              <w:jc w:val="left"/>
            </w:pPr>
            <w:r>
              <w:rPr>
                <w:rFonts w:ascii="Garamond" w:hAnsi="Garamond"/>
                <w:b/>
                <w:i w:val="0"/>
                <w:sz w:val="20"/>
              </w:rPr>
              <w:t>🟢 Retour à la normale</w:t>
            </w:r>
          </w:p>
        </w:tc>
        <w:tc>
          <w:tcPr>
            <w:tcW w:type="dxa" w:w="3024"/>
            <w:shd w:val="clear" w:fill="E8F3FA"/>
          </w:tcPr>
          <w:p>
            <w:pPr>
              <w:jc w:val="left"/>
            </w:pPr>
            <w:r>
              <w:rPr>
                <w:rFonts w:ascii="Garamond" w:hAnsi="Garamond"/>
                <w:b w:val="0"/>
                <w:i w:val="0"/>
                <w:sz w:val="20"/>
              </w:rPr>
              <w:t>L’axe alerté redevient fluide</w:t>
            </w:r>
          </w:p>
        </w:tc>
        <w:tc>
          <w:tcPr>
            <w:tcW w:type="dxa" w:w="3024"/>
            <w:shd w:val="clear" w:fill="E8F3FA"/>
          </w:tcPr>
          <w:p>
            <w:pPr>
              <w:jc w:val="left"/>
            </w:pPr>
            <w:r>
              <w:rPr>
                <w:rFonts w:ascii="Garamond" w:hAnsi="Garamond"/>
                <w:b w:val="0"/>
                <w:i w:val="0"/>
                <w:sz w:val="20"/>
              </w:rPr>
              <w:t>Levée de vigilance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Garamond" w:hAnsi="Garamond"/>
                <w:b/>
                <w:i w:val="0"/>
                <w:sz w:val="20"/>
              </w:rPr>
              <w:t>🟠 Pré-alerte : congestion probable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Garamond" w:hAnsi="Garamond"/>
                <w:b w:val="0"/>
                <w:i w:val="0"/>
                <w:sz w:val="20"/>
              </w:rPr>
              <w:t>Temps en hausse continue sur un axe ralenti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Garamond" w:hAnsi="Garamond"/>
                <w:b w:val="0"/>
                <w:i w:val="0"/>
                <w:sz w:val="20"/>
              </w:rPr>
              <w:t>Anticiper avant le basculement en congestion</w:t>
            </w:r>
          </w:p>
        </w:tc>
      </w:tr>
      <w:tr>
        <w:tc>
          <w:tcPr>
            <w:tcW w:type="dxa" w:w="3024"/>
            <w:shd w:val="clear" w:fill="E8F3FA"/>
          </w:tcPr>
          <w:p>
            <w:pPr>
              <w:jc w:val="left"/>
            </w:pPr>
            <w:r>
              <w:rPr>
                <w:rFonts w:ascii="Garamond" w:hAnsi="Garamond"/>
                <w:b/>
                <w:i w:val="0"/>
                <w:sz w:val="20"/>
              </w:rPr>
              <w:t>🔮 Congestion prévue vers Xh</w:t>
            </w:r>
          </w:p>
        </w:tc>
        <w:tc>
          <w:tcPr>
            <w:tcW w:type="dxa" w:w="3024"/>
            <w:shd w:val="clear" w:fill="E8F3FA"/>
          </w:tcPr>
          <w:p>
            <w:pPr>
              <w:jc w:val="left"/>
            </w:pPr>
            <w:r>
              <w:rPr>
                <w:rFonts w:ascii="Garamond" w:hAnsi="Garamond"/>
                <w:b w:val="0"/>
                <w:i w:val="0"/>
                <w:sz w:val="20"/>
              </w:rPr>
              <w:t>Le modèle prédit un créneau à risque dans l’heure</w:t>
            </w:r>
          </w:p>
        </w:tc>
        <w:tc>
          <w:tcPr>
            <w:tcW w:type="dxa" w:w="3024"/>
            <w:shd w:val="clear" w:fill="E8F3FA"/>
          </w:tcPr>
          <w:p>
            <w:pPr>
              <w:jc w:val="left"/>
            </w:pPr>
            <w:r>
              <w:rPr>
                <w:rFonts w:ascii="Garamond" w:hAnsi="Garamond"/>
                <w:b w:val="0"/>
                <w:i w:val="0"/>
                <w:sz w:val="20"/>
              </w:rPr>
              <w:t>Planifier les rotations sensibles hors du créneau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>
              <w:rPr>
                <w:rFonts w:ascii="Garamond" w:hAnsi="Garamond"/>
                <w:b/>
                <w:i w:val="0"/>
                <w:sz w:val="20"/>
              </w:rPr>
              <w:t>📊 Point trafic du matin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Garamond" w:hAnsi="Garamond"/>
                <w:b w:val="0"/>
                <w:i w:val="0"/>
                <w:sz w:val="20"/>
              </w:rPr>
              <w:t>Chaque jour vers 6h30</w:t>
            </w:r>
          </w:p>
        </w:tc>
        <w:tc>
          <w:tcPr>
            <w:tcW w:type="dxa" w:w="3024"/>
          </w:tcPr>
          <w:p>
            <w:pPr>
              <w:jc w:val="left"/>
            </w:pPr>
            <w:r>
              <w:rPr>
                <w:rFonts w:ascii="Garamond" w:hAnsi="Garamond"/>
                <w:b w:val="0"/>
                <w:i w:val="0"/>
                <w:sz w:val="20"/>
              </w:rPr>
              <w:t>Vue d’avant-service : état live, bilan de la veille, créneaux à surveiller</w:t>
            </w:r>
          </w:p>
        </w:tc>
      </w:tr>
      <w:tr>
        <w:tc>
          <w:tcPr>
            <w:tcW w:type="dxa" w:w="3024"/>
            <w:shd w:val="clear" w:fill="E8F3FA"/>
          </w:tcPr>
          <w:p>
            <w:pPr>
              <w:jc w:val="left"/>
            </w:pPr>
            <w:r>
              <w:rPr>
                <w:rFonts w:ascii="Garamond" w:hAnsi="Garamond"/>
                <w:b/>
                <w:i w:val="0"/>
                <w:sz w:val="20"/>
              </w:rPr>
              <w:t>📈 Bilan hebdomadaire</w:t>
            </w:r>
          </w:p>
        </w:tc>
        <w:tc>
          <w:tcPr>
            <w:tcW w:type="dxa" w:w="3024"/>
            <w:shd w:val="clear" w:fill="E8F3FA"/>
          </w:tcPr>
          <w:p>
            <w:pPr>
              <w:jc w:val="left"/>
            </w:pPr>
            <w:r>
              <w:rPr>
                <w:rFonts w:ascii="Garamond" w:hAnsi="Garamond"/>
                <w:b w:val="0"/>
                <w:i w:val="0"/>
                <w:sz w:val="20"/>
              </w:rPr>
              <w:t>Lundi matin</w:t>
            </w:r>
          </w:p>
        </w:tc>
        <w:tc>
          <w:tcPr>
            <w:tcW w:type="dxa" w:w="3024"/>
            <w:shd w:val="clear" w:fill="E8F3FA"/>
          </w:tcPr>
          <w:p>
            <w:pPr>
              <w:jc w:val="left"/>
            </w:pPr>
            <w:r>
              <w:rPr>
                <w:rFonts w:ascii="Garamond" w:hAnsi="Garamond"/>
                <w:b w:val="0"/>
                <w:i w:val="0"/>
                <w:sz w:val="20"/>
              </w:rPr>
              <w:t>Tendances de la semaine vs la précédente, par axe</w:t>
            </w:r>
          </w:p>
        </w:tc>
      </w:tr>
    </w:tbl>
    <w:p>
      <w:pPr>
        <w:spacing w:after="120" w:line="276" w:lineRule="auto"/>
        <w:jc w:val="both"/>
      </w:pPr>
      <w:r>
        <w:rPr>
          <w:rFonts w:ascii="Garamond" w:hAnsi="Garamond"/>
          <w:b w:val="0"/>
          <w:i w:val="0"/>
          <w:sz w:val="24"/>
        </w:rPr>
      </w:r>
    </w:p>
    <w:p>
      <w:pPr>
        <w:pStyle w:val="Titre1"/>
        <w:spacing w:before="360" w:after="200"/>
      </w:pPr>
      <w:r>
        <w:rPr>
          <w:rFonts w:ascii="Garamond" w:hAnsi="Garamond"/>
        </w:rPr>
        <w:t>VIII. LA CONSOLE D’ADMINISTRATION (administrateurs)</w:t>
      </w:r>
    </w:p>
    <w:p>
      <w:pPr>
        <w:pStyle w:val="Titre2"/>
        <w:spacing w:before="280" w:after="160"/>
      </w:pPr>
      <w:r>
        <w:rPr>
          <w:rFonts w:ascii="Garamond" w:hAnsi="Garamond"/>
        </w:rPr>
        <w:t>1. Axes routiers</w:t>
      </w:r>
    </w:p>
    <w:p>
      <w:pPr>
        <w:spacing w:after="80" w:line="276" w:lineRule="auto"/>
        <w:ind w:left="280"/>
        <w:jc w:val="both"/>
      </w:pPr>
      <w:r>
        <w:rPr>
          <w:rFonts w:ascii="Garamond" w:hAnsi="Garamond"/>
          <w:b w:val="0"/>
          <w:i w:val="0"/>
          <w:sz w:val="24"/>
        </w:rPr>
        <w:t xml:space="preserve">–  </w:t>
      </w:r>
      <w:r>
        <w:rPr>
          <w:rFonts w:ascii="Garamond" w:hAnsi="Garamond"/>
          <w:b/>
          <w:i w:val="0"/>
          <w:sz w:val="24"/>
        </w:rPr>
        <w:t xml:space="preserve">Créer / modifier : </w:t>
      </w:r>
      <w:r>
        <w:rPr>
          <w:rFonts w:ascii="Garamond" w:hAnsi="Garamond"/>
          <w:b w:val="0"/>
          <w:i w:val="0"/>
          <w:sz w:val="24"/>
        </w:rPr>
        <w:t>bouton « Ajouter un axe » ou crayon sur un axe existant. Renseignez nom, distance, temps de référence, bidirectionnalité — puis le tracé.</w:t>
      </w:r>
    </w:p>
    <w:p>
      <w:pPr>
        <w:spacing w:after="80" w:line="276" w:lineRule="auto"/>
        <w:ind w:left="280"/>
        <w:jc w:val="both"/>
      </w:pPr>
      <w:r>
        <w:rPr>
          <w:rFonts w:ascii="Garamond" w:hAnsi="Garamond"/>
          <w:b w:val="0"/>
          <w:i w:val="0"/>
          <w:sz w:val="24"/>
        </w:rPr>
        <w:t xml:space="preserve">–  </w:t>
      </w:r>
      <w:r>
        <w:rPr>
          <w:rFonts w:ascii="Garamond" w:hAnsi="Garamond"/>
          <w:b/>
          <w:i w:val="0"/>
          <w:sz w:val="24"/>
        </w:rPr>
        <w:t xml:space="preserve">Tracer sur la carte : </w:t>
      </w:r>
      <w:r>
        <w:rPr>
          <w:rFonts w:ascii="Garamond" w:hAnsi="Garamond"/>
          <w:b w:val="0"/>
          <w:i w:val="0"/>
          <w:sz w:val="24"/>
        </w:rPr>
        <w:t>cliquez sur la carte pour poser un point ; glissez un marqueur pour le déplacer ; cliquez le trait pointillé pour insérer un point entre deux ; clic droit sur un marqueur pour le supprimer. Vous pouvez aussi saisir/coller des coordonnées (bouton Google Maps intégré, avec vérification que le point est sur une route).</w:t>
      </w:r>
    </w:p>
    <w:p>
      <w:pPr>
        <w:spacing w:after="80" w:line="276" w:lineRule="auto"/>
        <w:ind w:left="280"/>
        <w:jc w:val="both"/>
      </w:pPr>
      <w:r>
        <w:rPr>
          <w:rFonts w:ascii="Garamond" w:hAnsi="Garamond"/>
          <w:b w:val="0"/>
          <w:i w:val="0"/>
          <w:sz w:val="24"/>
        </w:rPr>
        <w:t xml:space="preserve">–  </w:t>
      </w:r>
      <w:r>
        <w:rPr>
          <w:rFonts w:ascii="Garamond" w:hAnsi="Garamond"/>
          <w:b/>
          <w:i w:val="0"/>
          <w:sz w:val="24"/>
        </w:rPr>
        <w:t xml:space="preserve">Choisir l’itinéraire : </w:t>
      </w:r>
      <w:r>
        <w:rPr>
          <w:rFonts w:ascii="Garamond" w:hAnsi="Garamond"/>
          <w:b w:val="0"/>
          <w:i w:val="0"/>
          <w:sz w:val="24"/>
        </w:rPr>
        <w:t>« Voir les itinéraires » calcule les routes réelles passant par vos points — cliquez celle qui correspond au corridor officiel : distance et référence se pré-remplissent. Enregistrez : la carte de tous les utilisateurs est mise à jour instantanément, et votre tracé fait foi durablement.</w:t>
      </w:r>
    </w:p>
    <w:p>
      <w:pPr>
        <w:pStyle w:val="Titre2"/>
        <w:spacing w:before="280" w:after="160"/>
      </w:pPr>
      <w:r>
        <w:rPr>
          <w:rFonts w:ascii="Garamond" w:hAnsi="Garamond"/>
        </w:rPr>
        <w:t>2. Calibrage des temps de référence</w:t>
      </w:r>
    </w:p>
    <w:p>
      <w:pPr>
        <w:spacing w:after="160" w:line="276" w:lineRule="auto"/>
        <w:jc w:val="both"/>
      </w:pPr>
      <w:r>
        <w:rPr>
          <w:rFonts w:ascii="Garamond" w:hAnsi="Garamond"/>
          <w:b w:val="0"/>
          <w:i w:val="0"/>
          <w:sz w:val="24"/>
        </w:rPr>
        <w:t>En tête de l'onglet Axes, le panneau de calibrage compare chaque référence actuelle à la valeur recommandée (recalculée chaque semaine sur les relevés réels), avec l'écart et la part de temps que l'axe passerait en « Ralenti+ ». Badge vert = bien calibré ; sinon, « Appliquer X min » met à jour la référence en un clic — niveaux, alertes et seuils suivent immédiatement. Bonne pratique : vérifier ce panneau une fois par mois.</w:t>
      </w:r>
    </w:p>
    <w:p>
      <w:pPr>
        <w:pStyle w:val="Titre2"/>
        <w:spacing w:before="280" w:after="160"/>
      </w:pPr>
      <w:r>
        <w:rPr>
          <w:rFonts w:ascii="Garamond" w:hAnsi="Garamond"/>
        </w:rPr>
        <w:t>3. Tronçons</w:t>
      </w:r>
    </w:p>
    <w:p>
      <w:pPr>
        <w:spacing w:after="160" w:line="276" w:lineRule="auto"/>
        <w:jc w:val="both"/>
      </w:pPr>
      <w:r>
        <w:rPr>
          <w:rFonts w:ascii="Garamond" w:hAnsi="Garamond"/>
          <w:b w:val="0"/>
          <w:i w:val="0"/>
          <w:sz w:val="24"/>
        </w:rPr>
        <w:t>Même éditeur visuel que les axes, avec deux modes : délimitation sur l'axe parent (choisissez les deux extrémités sur le tracé existant) ou tracé libre point par point. Chaque tronçon porte un code (T1A…), un ordre et sa distance ; il apparaît immédiatement sur la carte avec sa propre couleur de congestion.</w:t>
      </w:r>
    </w:p>
    <w:p>
      <w:pPr>
        <w:pStyle w:val="Titre2"/>
        <w:spacing w:before="280" w:after="160"/>
      </w:pPr>
      <w:r>
        <w:rPr>
          <w:rFonts w:ascii="Garamond" w:hAnsi="Garamond"/>
        </w:rPr>
        <w:t>4. Seuils d’alerte</w:t>
      </w:r>
    </w:p>
    <w:p>
      <w:pPr>
        <w:spacing w:after="160" w:line="276" w:lineRule="auto"/>
        <w:jc w:val="both"/>
      </w:pPr>
      <w:r>
        <w:rPr>
          <w:rFonts w:ascii="Garamond" w:hAnsi="Garamond"/>
          <w:b w:val="0"/>
          <w:i w:val="0"/>
          <w:sz w:val="24"/>
        </w:rPr>
        <w:t>Ajustez par axe les seuils orange et rouge utilisés dans les rapports et affichages. Les valeurs par défaut valent 1,4× et 1,8× la référence.</w:t>
      </w:r>
    </w:p>
    <w:p>
      <w:pPr>
        <w:pStyle w:val="Titre2"/>
        <w:spacing w:before="280" w:after="160"/>
      </w:pPr>
      <w:r>
        <w:rPr>
          <w:rFonts w:ascii="Garamond" w:hAnsi="Garamond"/>
        </w:rPr>
        <w:t>5. Utilisateurs</w:t>
      </w:r>
    </w:p>
    <w:p>
      <w:pPr>
        <w:spacing w:after="160" w:line="276" w:lineRule="auto"/>
        <w:jc w:val="both"/>
      </w:pPr>
      <w:r>
        <w:rPr>
          <w:rFonts w:ascii="Garamond" w:hAnsi="Garamond"/>
          <w:b w:val="0"/>
          <w:i w:val="0"/>
          <w:sz w:val="24"/>
        </w:rPr>
        <w:t>Créez les comptes (nom, email, mot de passe, rôle Public ou Administrateur), modifiez-les, désactivez-les ou envoyez une réinitialisation de mot de passe. Un compte désactivé ne peut plus se connecter.</w:t>
      </w:r>
    </w:p>
    <w:p>
      <w:pPr>
        <w:pStyle w:val="Titre2"/>
        <w:spacing w:before="280" w:after="160"/>
      </w:pPr>
      <w:r>
        <w:rPr>
          <w:rFonts w:ascii="Garamond" w:hAnsi="Garamond"/>
        </w:rPr>
        <w:t>6. Notifications</w:t>
      </w:r>
    </w:p>
    <w:p>
      <w:pPr>
        <w:spacing w:after="160" w:line="276" w:lineRule="auto"/>
        <w:jc w:val="both"/>
      </w:pPr>
      <w:r>
        <w:rPr>
          <w:rFonts w:ascii="Garamond" w:hAnsi="Garamond"/>
          <w:b w:val="0"/>
          <w:i w:val="0"/>
          <w:sz w:val="24"/>
        </w:rPr>
        <w:t>Gérez la liste des destinataires des emails : ajoutez une adresse (et un nom), cochez Alertes et/ou Récap matinal pour chacun, puis « Enregistrer ». Les traitements automatiques utilisent cette liste dans la minute.</w:t>
      </w:r>
    </w:p>
    <w:p>
      <w:pPr>
        <w:pStyle w:val="Titre2"/>
        <w:spacing w:before="280" w:after="160"/>
      </w:pPr>
      <w:r>
        <w:rPr>
          <w:rFonts w:ascii="Garamond" w:hAnsi="Garamond"/>
        </w:rPr>
        <w:t>7. Utilisateurs en temps réel</w:t>
      </w:r>
    </w:p>
    <w:p>
      <w:pPr>
        <w:spacing w:after="160" w:line="276" w:lineRule="auto"/>
        <w:jc w:val="both"/>
      </w:pPr>
      <w:r>
        <w:rPr>
          <w:rFonts w:ascii="Garamond" w:hAnsi="Garamond"/>
          <w:b w:val="0"/>
          <w:i w:val="0"/>
          <w:sz w:val="24"/>
        </w:rPr>
        <w:t>La carte des usagers connectés ayant accepté la géolocalisation (positions anonymes, expiration 5 min) — utile pour mesurer l'audience terrain de l'outil.</w:t>
      </w:r>
    </w:p>
    <w:p>
      <w:pPr>
        <w:pStyle w:val="Titre1"/>
        <w:spacing w:before="360" w:after="200"/>
      </w:pPr>
      <w:r>
        <w:rPr>
          <w:rFonts w:ascii="Garamond" w:hAnsi="Garamond"/>
        </w:rPr>
        <w:t>IX. QUESTIONS FREQUENTES ET DEPANNAGE</w:t>
      </w:r>
    </w:p>
    <w:p>
      <w:pPr>
        <w:spacing w:after="80" w:line="276" w:lineRule="auto"/>
        <w:jc w:val="left"/>
      </w:pPr>
      <w:r>
        <w:rPr>
          <w:rFonts w:ascii="Garamond" w:hAnsi="Garamond"/>
          <w:b w:val="0"/>
          <w:i/>
          <w:color w:val="595959"/>
          <w:sz w:val="20"/>
        </w:rPr>
        <w:t>Tableau 3 — Dépannage rapide.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9CDDC"/>
          <w:left w:val="single" w:sz="4" w:color="B9CDDC"/>
          <w:bottom w:val="single" w:sz="4" w:color="B9CDDC"/>
          <w:right w:val="single" w:sz="4" w:color="B9CDDC"/>
          <w:insideH w:val="single" w:sz="4" w:color="B9CDDC"/>
          <w:insideV w:val="single" w:sz="4" w:color="B9CDDC"/>
        </w:tblBorders>
      </w:tblPr>
      <w:tblGrid>
        <w:gridCol w:w="4536"/>
        <w:gridCol w:w="4536"/>
      </w:tblGrid>
      <w:tr>
        <w:tc>
          <w:tcPr>
            <w:tcW w:type="dxa" w:w="4536"/>
            <w:shd w:val="clear" w:fill="0E4C74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20"/>
              </w:rPr>
              <w:t>Situation</w:t>
            </w:r>
          </w:p>
        </w:tc>
        <w:tc>
          <w:tcPr>
            <w:tcW w:type="dxa" w:w="4536"/>
            <w:shd w:val="clear" w:fill="0E4C74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20"/>
              </w:rPr>
              <w:t>Explication et solution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>
              <w:rPr>
                <w:rFonts w:ascii="Garamond" w:hAnsi="Garamond"/>
                <w:b/>
                <w:i w:val="0"/>
                <w:sz w:val="20"/>
              </w:rPr>
              <w:t>Le badge n’affiche plus « EN DIRECT »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rPr>
                <w:rFonts w:ascii="Garamond" w:hAnsi="Garamond"/>
                <w:b w:val="0"/>
                <w:i w:val="0"/>
                <w:sz w:val="20"/>
              </w:rPr>
              <w:t>La collecte n’a pas livré depuis &gt; 3 min (aléas du planificateur). Les données restent affichées avec leur heure. Bouton Actualiser pour forcer une mesure.</w:t>
            </w:r>
          </w:p>
        </w:tc>
      </w:tr>
      <w:tr>
        <w:tc>
          <w:tcPr>
            <w:tcW w:type="dxa" w:w="4536"/>
            <w:shd w:val="clear" w:fill="E8F3FA"/>
          </w:tcPr>
          <w:p>
            <w:pPr>
              <w:jc w:val="left"/>
            </w:pPr>
            <w:r>
              <w:rPr>
                <w:rFonts w:ascii="Garamond" w:hAnsi="Garamond"/>
                <w:b/>
                <w:i w:val="0"/>
                <w:sz w:val="20"/>
              </w:rPr>
              <w:t>« Données insuffisantes » sur un graphique</w:t>
            </w:r>
          </w:p>
        </w:tc>
        <w:tc>
          <w:tcPr>
            <w:tcW w:type="dxa" w:w="4536"/>
            <w:shd w:val="clear" w:fill="E8F3FA"/>
          </w:tcPr>
          <w:p>
            <w:pPr>
              <w:jc w:val="left"/>
            </w:pPr>
            <w:r>
              <w:rPr>
                <w:rFonts w:ascii="Garamond" w:hAnsi="Garamond"/>
                <w:b w:val="0"/>
                <w:i w:val="0"/>
                <w:sz w:val="20"/>
              </w:rPr>
              <w:t>La fenêtre/filtre choisis ne contiennent pas encore de relevés (ex. jours ouvrables un dimanche en 24 h). Élargissez la fenêtre — l’historique s’étoffe chaque nuit.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>
              <w:rPr>
                <w:rFonts w:ascii="Garamond" w:hAnsi="Garamond"/>
                <w:b/>
                <w:i w:val="0"/>
                <w:sz w:val="20"/>
              </w:rPr>
              <w:t>Je ne reçois pas les emails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rPr>
                <w:rFonts w:ascii="Garamond" w:hAnsi="Garamond"/>
                <w:b w:val="0"/>
                <w:i w:val="0"/>
                <w:sz w:val="20"/>
              </w:rPr>
              <w:t>Vérifiez le dossier Spam (marquez « Pas un spam »), puis votre inscription et vos cases dans Administration → Notifications.</w:t>
            </w:r>
          </w:p>
        </w:tc>
      </w:tr>
      <w:tr>
        <w:tc>
          <w:tcPr>
            <w:tcW w:type="dxa" w:w="4536"/>
            <w:shd w:val="clear" w:fill="E8F3FA"/>
          </w:tcPr>
          <w:p>
            <w:pPr>
              <w:jc w:val="left"/>
            </w:pPr>
            <w:r>
              <w:rPr>
                <w:rFonts w:ascii="Garamond" w:hAnsi="Garamond"/>
                <w:b/>
                <w:i w:val="0"/>
                <w:sz w:val="20"/>
              </w:rPr>
              <w:t>Le sommaire du rapport Word semble figé</w:t>
            </w:r>
          </w:p>
        </w:tc>
        <w:tc>
          <w:tcPr>
            <w:tcW w:type="dxa" w:w="4536"/>
            <w:shd w:val="clear" w:fill="E8F3FA"/>
          </w:tcPr>
          <w:p>
            <w:pPr>
              <w:jc w:val="left"/>
            </w:pPr>
            <w:r>
              <w:rPr>
                <w:rFonts w:ascii="Garamond" w:hAnsi="Garamond"/>
                <w:b w:val="0"/>
                <w:i w:val="0"/>
                <w:sz w:val="20"/>
              </w:rPr>
              <w:t>Word demande à l’ouverture de « mettre à jour les champs » : acceptez, le sommaire se régénère.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>
              <w:rPr>
                <w:rFonts w:ascii="Garamond" w:hAnsi="Garamond"/>
                <w:b/>
                <w:i w:val="0"/>
                <w:sz w:val="20"/>
              </w:rPr>
              <w:t>L’application semble « en retard » après une mise à jour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rPr>
                <w:rFonts w:ascii="Garamond" w:hAnsi="Garamond"/>
                <w:b w:val="0"/>
                <w:i w:val="0"/>
                <w:sz w:val="20"/>
              </w:rPr>
              <w:t>Rechargez avec Ctrl+Maj+R (l’application installée se met à jour seule à la relance).</w:t>
            </w:r>
          </w:p>
        </w:tc>
      </w:tr>
      <w:tr>
        <w:tc>
          <w:tcPr>
            <w:tcW w:type="dxa" w:w="4536"/>
            <w:shd w:val="clear" w:fill="E8F3FA"/>
          </w:tcPr>
          <w:p>
            <w:pPr>
              <w:jc w:val="left"/>
            </w:pPr>
            <w:r>
              <w:rPr>
                <w:rFonts w:ascii="Garamond" w:hAnsi="Garamond"/>
                <w:b/>
                <w:i w:val="0"/>
                <w:sz w:val="20"/>
              </w:rPr>
              <w:t>Erreurs de chargement en fin de journée</w:t>
            </w:r>
          </w:p>
        </w:tc>
        <w:tc>
          <w:tcPr>
            <w:tcW w:type="dxa" w:w="4536"/>
            <w:shd w:val="clear" w:fill="E8F3FA"/>
          </w:tcPr>
          <w:p>
            <w:pPr>
              <w:jc w:val="left"/>
            </w:pPr>
            <w:r>
              <w:rPr>
                <w:rFonts w:ascii="Garamond" w:hAnsi="Garamond"/>
                <w:b w:val="0"/>
                <w:i w:val="0"/>
                <w:sz w:val="20"/>
              </w:rPr>
              <w:t>Quota gratuit de lectures épuisé (cas exceptionnel). Retour à la normale à 7h ; le passage au plan à l’usage élimine définitivement ce cas.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>
              <w:rPr>
                <w:rFonts w:ascii="Garamond" w:hAnsi="Garamond"/>
                <w:b/>
                <w:i w:val="0"/>
                <w:sz w:val="20"/>
              </w:rPr>
              <w:t>Le bouton « Installer l’application » n’apparaît pas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rPr>
                <w:rFonts w:ascii="Garamond" w:hAnsi="Garamond"/>
                <w:b w:val="0"/>
                <w:i w:val="0"/>
                <w:sz w:val="20"/>
              </w:rPr>
              <w:t>L’application est déjà installée, ou le navigateur ne le propose pas (Firefox) : utilisez Chrome/Edge, ou l’icône d’installation dans la barre d’adresse.</w:t>
            </w:r>
          </w:p>
        </w:tc>
      </w:tr>
    </w:tbl>
    <w:p>
      <w:pPr>
        <w:spacing w:after="120" w:line="276" w:lineRule="auto"/>
        <w:jc w:val="both"/>
      </w:pPr>
      <w:r>
        <w:rPr>
          <w:rFonts w:ascii="Garamond" w:hAnsi="Garamond"/>
          <w:b w:val="0"/>
          <w:i w:val="0"/>
          <w:sz w:val="24"/>
        </w:rPr>
      </w:r>
    </w:p>
    <w:p>
      <w:pPr>
        <w:spacing w:after="0" w:line="276" w:lineRule="auto"/>
        <w:jc w:val="center"/>
      </w:pPr>
      <w:r>
        <w:rPr>
          <w:rFonts w:ascii="Garamond" w:hAnsi="Garamond"/>
          <w:b w:val="0"/>
          <w:i/>
          <w:color w:val="595959"/>
          <w:sz w:val="20"/>
        </w:rPr>
        <w:t>FlowPort — Port Autonome d'Abidjan · guide de l'utilisateur · 06/07/2026</w:t>
      </w:r>
    </w:p>
    <w:sectPr w:rsidR="00115918">
      <w:footerReference w:type="default" r:id="rId100"/>
      <w:footerReference w:type="first" r:id="rId27"/>
      <w:pgSz w:w="11906" w:h="16838"/>
      <w:pgMar w:top="1417" w:right="1417" w:bottom="1417" w:left="1417" w:header="708" w:footer="708" w:gutter="0"/>
      <w:pgBorders w:offsetFrom="page">
        <w:top w:val="double" w:sz="18" w:space="24" w:color="0E4C74"/>
        <w:left w:val="double" w:sz="18" w:space="24" w:color="0E4C74"/>
        <w:bottom w:val="double" w:sz="18" w:space="24" w:color="0E4C74"/>
        <w:right w:val="double" w:sz="18" w:space="24" w:color="0E4C74"/>
      </w:pgBorders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A8368" w14:textId="77777777" w:rsidR="00B750A1" w:rsidRDefault="00B750A1">
      <w:pPr>
        <w:spacing w:after="0" w:line="240" w:lineRule="auto"/>
      </w:pPr>
      <w:r>
        <w:separator/>
      </w:r>
    </w:p>
  </w:endnote>
  <w:endnote w:type="continuationSeparator" w:id="0">
    <w:p w14:paraId="55F24460" w14:textId="77777777" w:rsidR="00B750A1" w:rsidRDefault="00B75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-apple-system-font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2E362" w14:textId="77777777" w:rsidR="00000000" w:rsidRDefault="00000000">
    <w:pPr>
      <w:pStyle w:val="Pieddepage"/>
    </w:pPr>
    <w:r>
      <w:rPr>
        <w:rFonts w:ascii="Arial" w:eastAsia="Arial" w:hAnsi="Arial" w:cs="Arial"/>
        <w:b/>
        <w:bCs/>
        <w:noProof/>
        <w:color w:val="075FA7"/>
        <w:sz w:val="15"/>
        <w:szCs w:val="15"/>
        <w:lang w:val="fr-FR"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1C26D9" wp14:editId="450AFFCA">
              <wp:simplePos x="0" y="0"/>
              <wp:positionH relativeFrom="margin">
                <wp:posOffset>-251460</wp:posOffset>
              </wp:positionH>
              <wp:positionV relativeFrom="paragraph">
                <wp:posOffset>-259076</wp:posOffset>
              </wp:positionV>
              <wp:extent cx="6457949" cy="512448"/>
              <wp:effectExtent l="0" t="0" r="0" b="1902"/>
              <wp:wrapNone/>
              <wp:docPr id="51518553" name="Zone de texte 1903770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57949" cy="512448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209816CC" w14:textId="77777777" w:rsidR="00000000" w:rsidRDefault="00000000">
                          <w:pPr>
                            <w:jc w:val="center"/>
                          </w:pPr>
                          <w:r>
                            <w:rPr>
                              <w:rFonts w:ascii="-apple-system-font" w:hAnsi="-apple-system-font"/>
                              <w:b/>
                              <w:bCs/>
                              <w:color w:val="0F4791"/>
                              <w:sz w:val="13"/>
                              <w:szCs w:val="17"/>
                            </w:rPr>
                            <w:t>Port Autonome d'Abidjan, Société d'État</w:t>
                          </w:r>
                          <w:r>
                            <w:rPr>
                              <w:rFonts w:ascii="-apple-system-font" w:hAnsi="-apple-system-font"/>
                              <w:color w:val="0F4791"/>
                              <w:sz w:val="13"/>
                              <w:szCs w:val="17"/>
                            </w:rPr>
                            <w:t xml:space="preserve"> au capital de </w:t>
                          </w:r>
                          <w:r>
                            <w:rPr>
                              <w:rFonts w:ascii="-apple-system-font" w:hAnsi="-apple-system-font"/>
                              <w:b/>
                              <w:bCs/>
                              <w:color w:val="0F4791"/>
                              <w:sz w:val="13"/>
                              <w:szCs w:val="17"/>
                            </w:rPr>
                            <w:t>100.000.000.000 F CFA</w:t>
                          </w:r>
                          <w:r>
                            <w:rPr>
                              <w:rFonts w:ascii="-apple-system-font" w:hAnsi="-apple-system-font"/>
                              <w:color w:val="0F4791"/>
                              <w:sz w:val="13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rFonts w:ascii="-apple-system-font" w:hAnsi="-apple-system-font"/>
                              <w:b/>
                              <w:bCs/>
                              <w:color w:val="0F4791"/>
                              <w:sz w:val="13"/>
                              <w:szCs w:val="17"/>
                            </w:rPr>
                            <w:t>régie par la loi n°2020-626 du 14 Août 2020</w:t>
                          </w:r>
                          <w:r>
                            <w:rPr>
                              <w:rFonts w:ascii="-apple-system-font" w:hAnsi="-apple-system-font"/>
                              <w:color w:val="0F4791"/>
                              <w:sz w:val="13"/>
                              <w:szCs w:val="17"/>
                            </w:rPr>
                            <w:t xml:space="preserve"> portant définition et organisation des Sociétés d'État et par le </w:t>
                          </w:r>
                          <w:r>
                            <w:rPr>
                              <w:rFonts w:ascii="-apple-system-font" w:hAnsi="-apple-system-font"/>
                              <w:b/>
                              <w:bCs/>
                              <w:color w:val="0F4791"/>
                              <w:sz w:val="13"/>
                              <w:szCs w:val="17"/>
                            </w:rPr>
                            <w:t>décret n° 092-940</w:t>
                          </w:r>
                          <w:r>
                            <w:rPr>
                              <w:rFonts w:ascii="-apple-system-font" w:hAnsi="-apple-system-font"/>
                              <w:color w:val="0F4791"/>
                              <w:sz w:val="13"/>
                              <w:szCs w:val="17"/>
                            </w:rPr>
                            <w:t xml:space="preserve"> du 23 décembre 1992 portant transformation du Port Autonome d'Abidjan (P.A.A) en Société d'État, dont le siège social est sis à                              Abidjan-Treichville, Rue A22 des Piroguiers, Boulevard du Port, adresse : BP V85 Abidjan et immatriculée au RCCM sous le numéro</w:t>
                          </w:r>
                          <w:r>
                            <w:rPr>
                              <w:rFonts w:ascii="-apple-system-font" w:hAnsi="-apple-system-font"/>
                              <w:b/>
                              <w:bCs/>
                              <w:color w:val="0F4791"/>
                              <w:sz w:val="13"/>
                              <w:szCs w:val="17"/>
                            </w:rPr>
                            <w:t xml:space="preserve"> CI-ABJ-03-2021-M-00928</w:t>
                          </w:r>
                          <w:r>
                            <w:rPr>
                              <w:rFonts w:ascii="-apple-system-font" w:hAnsi="-apple-system-font"/>
                              <w:color w:val="0F4791"/>
                              <w:sz w:val="13"/>
                              <w:szCs w:val="17"/>
                            </w:rPr>
                            <w:t xml:space="preserve">,                                                    </w:t>
                          </w:r>
                          <w:r>
                            <w:rPr>
                              <w:rFonts w:ascii="-apple-system-font" w:hAnsi="-apple-system-font"/>
                              <w:b/>
                              <w:bCs/>
                              <w:color w:val="0F4791"/>
                              <w:sz w:val="13"/>
                              <w:szCs w:val="17"/>
                            </w:rPr>
                            <w:t>Tél : 27-21-23-80-00, Téléfax : 27-21-23-80-80, Web : www.portabidjan.ci</w:t>
                          </w:r>
                        </w:p>
                        <w:p w14:paraId="05AF5EDD" w14:textId="77777777" w:rsidR="00000000" w:rsidRDefault="00000000">
                          <w:pPr>
                            <w:jc w:val="center"/>
                            <w:rPr>
                              <w:color w:val="0F4791"/>
                              <w:sz w:val="17"/>
                              <w:szCs w:val="17"/>
                            </w:rPr>
                          </w:pPr>
                        </w:p>
                      </w:txbxContent>
                    </wps:txbx>
                    <wps:bodyPr vert="horz" wrap="square" lIns="91440" tIns="45720" rIns="91440" bIns="45720" anchor="t" anchorCtr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1C26D9" id="_x0000_t202" coordsize="21600,21600" o:spt="202" path="m,l,21600r21600,l21600,xe">
              <v:stroke joinstyle="miter"/>
              <v:path gradientshapeok="t" o:connecttype="rect"/>
            </v:shapetype>
            <v:shape id="Zone de texte 190377056" o:spid="_x0000_s1029" type="#_x0000_t202" style="position:absolute;margin-left:-19.8pt;margin-top:-20.4pt;width:508.5pt;height:40.3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" filled="f" stroked="f">
              <v:textbox>
                <w:txbxContent>
                  <w:p w14:paraId="209816CC" w14:textId="77777777" w:rsidR="00000000" w:rsidRDefault="00000000">
                    <w:pPr>
                      <w:jc w:val="center"/>
                    </w:pPr>
                    <w:r>
                      <w:rPr>
                        <w:rFonts w:ascii="-apple-system-font" w:hAnsi="-apple-system-font"/>
                        <w:b/>
                        <w:bCs/>
                        <w:color w:val="0F4791"/>
                        <w:sz w:val="13"/>
                        <w:szCs w:val="17"/>
                      </w:rPr>
                      <w:t>Port Autonome d'Abidjan, Société d'État</w:t>
                    </w:r>
                    <w:r>
                      <w:rPr>
                        <w:rFonts w:ascii="-apple-system-font" w:hAnsi="-apple-system-font"/>
                        <w:color w:val="0F4791"/>
                        <w:sz w:val="13"/>
                        <w:szCs w:val="17"/>
                      </w:rPr>
                      <w:t xml:space="preserve"> au capital de </w:t>
                    </w:r>
                    <w:r>
                      <w:rPr>
                        <w:rFonts w:ascii="-apple-system-font" w:hAnsi="-apple-system-font"/>
                        <w:b/>
                        <w:bCs/>
                        <w:color w:val="0F4791"/>
                        <w:sz w:val="13"/>
                        <w:szCs w:val="17"/>
                      </w:rPr>
                      <w:t>100.000.000.000 F CFA</w:t>
                    </w:r>
                    <w:r>
                      <w:rPr>
                        <w:rFonts w:ascii="-apple-system-font" w:hAnsi="-apple-system-font"/>
                        <w:color w:val="0F4791"/>
                        <w:sz w:val="13"/>
                        <w:szCs w:val="17"/>
                      </w:rPr>
                      <w:t xml:space="preserve">, </w:t>
                    </w:r>
                    <w:r>
                      <w:rPr>
                        <w:rFonts w:ascii="-apple-system-font" w:hAnsi="-apple-system-font"/>
                        <w:b/>
                        <w:bCs/>
                        <w:color w:val="0F4791"/>
                        <w:sz w:val="13"/>
                        <w:szCs w:val="17"/>
                      </w:rPr>
                      <w:t>régie par la loi n°2020-626 du 14 Août 2020</w:t>
                    </w:r>
                    <w:r>
                      <w:rPr>
                        <w:rFonts w:ascii="-apple-system-font" w:hAnsi="-apple-system-font"/>
                        <w:color w:val="0F4791"/>
                        <w:sz w:val="13"/>
                        <w:szCs w:val="17"/>
                      </w:rPr>
                      <w:t xml:space="preserve"> portant définition et organisation des Sociétés d'État et par le </w:t>
                    </w:r>
                    <w:r>
                      <w:rPr>
                        <w:rFonts w:ascii="-apple-system-font" w:hAnsi="-apple-system-font"/>
                        <w:b/>
                        <w:bCs/>
                        <w:color w:val="0F4791"/>
                        <w:sz w:val="13"/>
                        <w:szCs w:val="17"/>
                      </w:rPr>
                      <w:t>décret n° 092-940</w:t>
                    </w:r>
                    <w:r>
                      <w:rPr>
                        <w:rFonts w:ascii="-apple-system-font" w:hAnsi="-apple-system-font"/>
                        <w:color w:val="0F4791"/>
                        <w:sz w:val="13"/>
                        <w:szCs w:val="17"/>
                      </w:rPr>
                      <w:t xml:space="preserve"> du 23 décembre 1992 portant transformation du Port Autonome d'Abidjan (P.A.A) en Société d'État, dont le siège social est sis à                              Abidjan-Treichville, Rue A22 des Piroguiers, Boulevard du Port, adresse : BP V85 Abidjan et immatriculée au RCCM sous le numéro</w:t>
                    </w:r>
                    <w:r>
                      <w:rPr>
                        <w:rFonts w:ascii="-apple-system-font" w:hAnsi="-apple-system-font"/>
                        <w:b/>
                        <w:bCs/>
                        <w:color w:val="0F4791"/>
                        <w:sz w:val="13"/>
                        <w:szCs w:val="17"/>
                      </w:rPr>
                      <w:t xml:space="preserve"> CI-ABJ-03-2021-M-00928</w:t>
                    </w:r>
                    <w:r>
                      <w:rPr>
                        <w:rFonts w:ascii="-apple-system-font" w:hAnsi="-apple-system-font"/>
                        <w:color w:val="0F4791"/>
                        <w:sz w:val="13"/>
                        <w:szCs w:val="17"/>
                      </w:rPr>
                      <w:t xml:space="preserve">,                                                    </w:t>
                    </w:r>
                    <w:r>
                      <w:rPr>
                        <w:rFonts w:ascii="-apple-system-font" w:hAnsi="-apple-system-font"/>
                        <w:b/>
                        <w:bCs/>
                        <w:color w:val="0F4791"/>
                        <w:sz w:val="13"/>
                        <w:szCs w:val="17"/>
                      </w:rPr>
                      <w:t>Tél : 27-21-23-80-00, Téléfax : 27-21-23-80-80, Web : www.portabidjan.ci</w:t>
                    </w:r>
                  </w:p>
                  <w:p w14:paraId="05AF5EDD" w14:textId="77777777" w:rsidR="00000000" w:rsidRDefault="00000000">
                    <w:pPr>
                      <w:jc w:val="center"/>
                      <w:rPr>
                        <w:color w:val="0F4791"/>
                        <w:sz w:val="17"/>
                        <w:szCs w:val="17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2E362" w14:textId="77777777" w:rsidR="00000000" w:rsidRDefault="00000000">
    <w:pPr>
      <w:pStyle w:val="Pieddepage"/>
    </w:pPr>
    <w:r>
      <w:rPr>
        <w:rFonts w:ascii="Arial" w:eastAsia="Arial" w:hAnsi="Arial" w:cs="Arial"/>
        <w:b/>
        <w:bCs/>
        <w:noProof/>
        <w:color w:val="075FA7"/>
        <w:sz w:val="15"/>
        <w:szCs w:val="15"/>
        <w:lang w:val="fr-FR"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A1C26D9" wp14:editId="450AFFCA">
              <wp:simplePos x="0" y="0"/>
              <wp:positionH relativeFrom="margin">
                <wp:posOffset>-251460</wp:posOffset>
              </wp:positionH>
              <wp:positionV relativeFrom="paragraph">
                <wp:posOffset>-259076</wp:posOffset>
              </wp:positionV>
              <wp:extent cx="6457949" cy="512448"/>
              <wp:effectExtent l="0" t="0" r="0" b="1902"/>
              <wp:wrapNone/>
              <wp:docPr id="51518553" name="Zone de texte 1903770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57949" cy="512448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209816CC" w14:textId="77777777" w:rsidR="00000000" w:rsidRDefault="00000000">
                          <w:pPr>
                            <w:jc w:val="center"/>
                          </w:pPr>
                          <w:r>
                            <w:rPr>
                              <w:rFonts w:ascii="-apple-system-font" w:hAnsi="-apple-system-font"/>
                              <w:b/>
                              <w:bCs/>
                              <w:color w:val="0F4791"/>
                              <w:sz w:val="13"/>
                              <w:szCs w:val="17"/>
                            </w:rPr>
                            <w:t>Port Autonome d'Abidjan, Société d'État</w:t>
                          </w:r>
                          <w:r>
                            <w:rPr>
                              <w:rFonts w:ascii="-apple-system-font" w:hAnsi="-apple-system-font"/>
                              <w:color w:val="0F4791"/>
                              <w:sz w:val="13"/>
                              <w:szCs w:val="17"/>
                            </w:rPr>
                            <w:t xml:space="preserve"> au capital de </w:t>
                          </w:r>
                          <w:r>
                            <w:rPr>
                              <w:rFonts w:ascii="-apple-system-font" w:hAnsi="-apple-system-font"/>
                              <w:b/>
                              <w:bCs/>
                              <w:color w:val="0F4791"/>
                              <w:sz w:val="13"/>
                              <w:szCs w:val="17"/>
                            </w:rPr>
                            <w:t>100.000.000.000 F CFA</w:t>
                          </w:r>
                          <w:r>
                            <w:rPr>
                              <w:rFonts w:ascii="-apple-system-font" w:hAnsi="-apple-system-font"/>
                              <w:color w:val="0F4791"/>
                              <w:sz w:val="13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rFonts w:ascii="-apple-system-font" w:hAnsi="-apple-system-font"/>
                              <w:b/>
                              <w:bCs/>
                              <w:color w:val="0F4791"/>
                              <w:sz w:val="13"/>
                              <w:szCs w:val="17"/>
                            </w:rPr>
                            <w:t>régie par la loi n°2020-626 du 14 Août 2020</w:t>
                          </w:r>
                          <w:r>
                            <w:rPr>
                              <w:rFonts w:ascii="-apple-system-font" w:hAnsi="-apple-system-font"/>
                              <w:color w:val="0F4791"/>
                              <w:sz w:val="13"/>
                              <w:szCs w:val="17"/>
                            </w:rPr>
                            <w:t xml:space="preserve"> portant définition et organisation des Sociétés d'État et par le </w:t>
                          </w:r>
                          <w:r>
                            <w:rPr>
                              <w:rFonts w:ascii="-apple-system-font" w:hAnsi="-apple-system-font"/>
                              <w:b/>
                              <w:bCs/>
                              <w:color w:val="0F4791"/>
                              <w:sz w:val="13"/>
                              <w:szCs w:val="17"/>
                            </w:rPr>
                            <w:t>décret n° 092-940</w:t>
                          </w:r>
                          <w:r>
                            <w:rPr>
                              <w:rFonts w:ascii="-apple-system-font" w:hAnsi="-apple-system-font"/>
                              <w:color w:val="0F4791"/>
                              <w:sz w:val="13"/>
                              <w:szCs w:val="17"/>
                            </w:rPr>
                            <w:t xml:space="preserve"> du 23 décembre 1992 portant transformation du Port Autonome d'Abidjan (P.A.A) en Société d'État, dont le siège social est sis à                              Abidjan-Treichville, Rue A22 des Piroguiers, Boulevard du Port, adresse : BP V85 Abidjan et immatriculée au RCCM sous le numéro</w:t>
                          </w:r>
                          <w:r>
                            <w:rPr>
                              <w:rFonts w:ascii="-apple-system-font" w:hAnsi="-apple-system-font"/>
                              <w:b/>
                              <w:bCs/>
                              <w:color w:val="0F4791"/>
                              <w:sz w:val="13"/>
                              <w:szCs w:val="17"/>
                            </w:rPr>
                            <w:t xml:space="preserve"> CI-ABJ-03-2021-M-00928</w:t>
                          </w:r>
                          <w:r>
                            <w:rPr>
                              <w:rFonts w:ascii="-apple-system-font" w:hAnsi="-apple-system-font"/>
                              <w:color w:val="0F4791"/>
                              <w:sz w:val="13"/>
                              <w:szCs w:val="17"/>
                            </w:rPr>
                            <w:t xml:space="preserve">,                                                    </w:t>
                          </w:r>
                          <w:r>
                            <w:rPr>
                              <w:rFonts w:ascii="-apple-system-font" w:hAnsi="-apple-system-font"/>
                              <w:b/>
                              <w:bCs/>
                              <w:color w:val="0F4791"/>
                              <w:sz w:val="13"/>
                              <w:szCs w:val="17"/>
                            </w:rPr>
                            <w:t>Tél : 27-21-23-80-00, Téléfax : 27-21-23-80-80, Web : www.portabidjan.ci</w:t>
                          </w:r>
                        </w:p>
                        <w:p w14:paraId="05AF5EDD" w14:textId="77777777" w:rsidR="00000000" w:rsidRDefault="00000000">
                          <w:pPr>
                            <w:jc w:val="center"/>
                            <w:rPr>
                              <w:color w:val="0F4791"/>
                              <w:sz w:val="17"/>
                              <w:szCs w:val="17"/>
                            </w:rPr>
                          </w:pPr>
                        </w:p>
                      </w:txbxContent>
                    </wps:txbx>
                    <wps:bodyPr vert="horz" wrap="square" lIns="91440" tIns="45720" rIns="91440" bIns="45720" anchor="t" anchorCtr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1C26D9" id="_x0000_t202" coordsize="21600,21600" o:spt="202" path="m,l,21600r21600,l21600,xe">
              <v:stroke joinstyle="miter"/>
              <v:path gradientshapeok="t" o:connecttype="rect"/>
            </v:shapetype>
            <v:shape id="Zone de texte 190377056" o:spid="_x0000_s1029" type="#_x0000_t202" style="position:absolute;margin-left:-19.8pt;margin-top:-20.4pt;width:508.5pt;height:40.3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" filled="f" stroked="f">
              <v:textbox>
                <w:txbxContent>
                  <w:p w14:paraId="209816CC" w14:textId="77777777" w:rsidR="00000000" w:rsidRDefault="00000000">
                    <w:pPr>
                      <w:jc w:val="center"/>
                    </w:pPr>
                    <w:r>
                      <w:rPr>
                        <w:rFonts w:ascii="-apple-system-font" w:hAnsi="-apple-system-font"/>
                        <w:b/>
                        <w:bCs/>
                        <w:color w:val="0F4791"/>
                        <w:sz w:val="13"/>
                        <w:szCs w:val="17"/>
                      </w:rPr>
                      <w:t>Port Autonome d'Abidjan, Société d'État</w:t>
                    </w:r>
                    <w:r>
                      <w:rPr>
                        <w:rFonts w:ascii="-apple-system-font" w:hAnsi="-apple-system-font"/>
                        <w:color w:val="0F4791"/>
                        <w:sz w:val="13"/>
                        <w:szCs w:val="17"/>
                      </w:rPr>
                      <w:t xml:space="preserve"> au capital de </w:t>
                    </w:r>
                    <w:r>
                      <w:rPr>
                        <w:rFonts w:ascii="-apple-system-font" w:hAnsi="-apple-system-font"/>
                        <w:b/>
                        <w:bCs/>
                        <w:color w:val="0F4791"/>
                        <w:sz w:val="13"/>
                        <w:szCs w:val="17"/>
                      </w:rPr>
                      <w:t>100.000.000.000 F CFA</w:t>
                    </w:r>
                    <w:r>
                      <w:rPr>
                        <w:rFonts w:ascii="-apple-system-font" w:hAnsi="-apple-system-font"/>
                        <w:color w:val="0F4791"/>
                        <w:sz w:val="13"/>
                        <w:szCs w:val="17"/>
                      </w:rPr>
                      <w:t xml:space="preserve">, </w:t>
                    </w:r>
                    <w:r>
                      <w:rPr>
                        <w:rFonts w:ascii="-apple-system-font" w:hAnsi="-apple-system-font"/>
                        <w:b/>
                        <w:bCs/>
                        <w:color w:val="0F4791"/>
                        <w:sz w:val="13"/>
                        <w:szCs w:val="17"/>
                      </w:rPr>
                      <w:t>régie par la loi n°2020-626 du 14 Août 2020</w:t>
                    </w:r>
                    <w:r>
                      <w:rPr>
                        <w:rFonts w:ascii="-apple-system-font" w:hAnsi="-apple-system-font"/>
                        <w:color w:val="0F4791"/>
                        <w:sz w:val="13"/>
                        <w:szCs w:val="17"/>
                      </w:rPr>
                      <w:t xml:space="preserve"> portant définition et organisation des Sociétés d'État et par le </w:t>
                    </w:r>
                    <w:r>
                      <w:rPr>
                        <w:rFonts w:ascii="-apple-system-font" w:hAnsi="-apple-system-font"/>
                        <w:b/>
                        <w:bCs/>
                        <w:color w:val="0F4791"/>
                        <w:sz w:val="13"/>
                        <w:szCs w:val="17"/>
                      </w:rPr>
                      <w:t>décret n° 092-940</w:t>
                    </w:r>
                    <w:r>
                      <w:rPr>
                        <w:rFonts w:ascii="-apple-system-font" w:hAnsi="-apple-system-font"/>
                        <w:color w:val="0F4791"/>
                        <w:sz w:val="13"/>
                        <w:szCs w:val="17"/>
                      </w:rPr>
                      <w:t xml:space="preserve"> du 23 décembre 1992 portant transformation du Port Autonome d'Abidjan (P.A.A) en Société d'État, dont le siège social est sis à                              Abidjan-Treichville, Rue A22 des Piroguiers, Boulevard du Port, adresse : BP V85 Abidjan et immatriculée au RCCM sous le numéro</w:t>
                    </w:r>
                    <w:r>
                      <w:rPr>
                        <w:rFonts w:ascii="-apple-system-font" w:hAnsi="-apple-system-font"/>
                        <w:b/>
                        <w:bCs/>
                        <w:color w:val="0F4791"/>
                        <w:sz w:val="13"/>
                        <w:szCs w:val="17"/>
                      </w:rPr>
                      <w:t xml:space="preserve"> CI-ABJ-03-2021-M-00928</w:t>
                    </w:r>
                    <w:r>
                      <w:rPr>
                        <w:rFonts w:ascii="-apple-system-font" w:hAnsi="-apple-system-font"/>
                        <w:color w:val="0F4791"/>
                        <w:sz w:val="13"/>
                        <w:szCs w:val="17"/>
                      </w:rPr>
                      <w:t xml:space="preserve">,                                                    </w:t>
                    </w:r>
                    <w:r>
                      <w:rPr>
                        <w:rFonts w:ascii="-apple-system-font" w:hAnsi="-apple-system-font"/>
                        <w:b/>
                        <w:bCs/>
                        <w:color w:val="0F4791"/>
                        <w:sz w:val="13"/>
                        <w:szCs w:val="17"/>
                      </w:rPr>
                      <w:t>Tél : 27-21-23-80-00, Téléfax : 27-21-23-80-80, Web : www.portabidjan.ci</w:t>
                    </w:r>
                  </w:p>
                  <w:p w14:paraId="05AF5EDD" w14:textId="77777777" w:rsidR="00000000" w:rsidRDefault="00000000">
                    <w:pPr>
                      <w:jc w:val="center"/>
                      <w:rPr>
                        <w:color w:val="0F4791"/>
                        <w:sz w:val="17"/>
                        <w:szCs w:val="17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>
    <w:pPr>
      <w:jc w:val="center"/>
    </w:pPr>
    <w:r>
      <w:rPr>
        <w:rFonts w:ascii="Garamond" w:hAnsi="Garamond"/>
        <w:sz w:val="18"/>
        <w:color w:val="595959"/>
      </w:rPr>
      <w:t xml:space="preserve">Page </w:t>
    </w:r>
    <w:r>
      <w:rPr>
        <w:rFonts w:ascii="Garamond" w:hAnsi="Garamond"/>
        <w:sz w:val="18"/>
        <w:color w:val="595959"/>
      </w:rPr>
      <w:fldChar w:fldCharType="begin"/>
    </w:r>
    <w:r>
      <w:rPr>
        <w:rFonts w:ascii="Garamond" w:hAnsi="Garamond"/>
        <w:sz w:val="18"/>
        <w:color w:val="595959"/>
      </w:rPr>
      <w:instrText xml:space="preserve"> PAGE </w:instrText>
    </w:r>
    <w:r>
      <w:rPr>
        <w:rFonts w:ascii="Garamond" w:hAnsi="Garamond"/>
        <w:sz w:val="18"/>
        <w:color w:val="59595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3D356" w14:textId="77777777" w:rsidR="00B750A1" w:rsidRDefault="00B750A1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86C295D" w14:textId="77777777" w:rsidR="00B750A1" w:rsidRDefault="00B750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776"/>
    <w:multiLevelType w:val="multilevel"/>
    <w:tmpl w:val="27F0A1DC"/>
    <w:styleLink w:val="LFO9"/>
    <w:lvl w:ilvl="0">
      <w:start w:val="1"/>
      <w:numFmt w:val="decimal"/>
      <w:pStyle w:val="Style2"/>
      <w:lvlText w:val="%1."/>
      <w:lvlJc w:val="left"/>
      <w:pPr>
        <w:ind w:left="720" w:hanging="720"/>
      </w:pPr>
    </w:lvl>
    <w:lvl w:ilvl="1">
      <w:start w:val="1"/>
      <w:numFmt w:val="decimal"/>
      <w:lvlText w:val="."/>
      <w:lvlJc w:val="left"/>
      <w:pPr>
        <w:ind w:left="1440" w:hanging="720"/>
      </w:pPr>
    </w:lvl>
    <w:lvl w:ilvl="2">
      <w:start w:val="1"/>
      <w:numFmt w:val="decimal"/>
      <w:lvlText w:val="."/>
      <w:lvlJc w:val="left"/>
      <w:pPr>
        <w:ind w:left="2160" w:hanging="720"/>
      </w:pPr>
    </w:lvl>
    <w:lvl w:ilvl="3">
      <w:start w:val="1"/>
      <w:numFmt w:val="decimal"/>
      <w:lvlText w:val="."/>
      <w:lvlJc w:val="left"/>
      <w:pPr>
        <w:ind w:left="2880" w:hanging="720"/>
      </w:pPr>
    </w:lvl>
    <w:lvl w:ilvl="4">
      <w:start w:val="1"/>
      <w:numFmt w:val="decimal"/>
      <w:lvlText w:val="."/>
      <w:lvlJc w:val="left"/>
      <w:pPr>
        <w:ind w:left="3600" w:hanging="720"/>
      </w:pPr>
    </w:lvl>
    <w:lvl w:ilvl="5">
      <w:start w:val="1"/>
      <w:numFmt w:val="decimal"/>
      <w:lvlText w:val="."/>
      <w:lvlJc w:val="left"/>
      <w:pPr>
        <w:ind w:left="4320" w:hanging="720"/>
      </w:pPr>
    </w:lvl>
    <w:lvl w:ilvl="6">
      <w:start w:val="1"/>
      <w:numFmt w:val="decimal"/>
      <w:lvlText w:val="."/>
      <w:lvlJc w:val="left"/>
      <w:pPr>
        <w:ind w:left="5040" w:hanging="720"/>
      </w:pPr>
    </w:lvl>
    <w:lvl w:ilvl="7">
      <w:start w:val="1"/>
      <w:numFmt w:val="decimal"/>
      <w:lvlText w:val="."/>
      <w:lvlJc w:val="left"/>
      <w:pPr>
        <w:ind w:left="5760" w:hanging="720"/>
      </w:pPr>
    </w:lvl>
    <w:lvl w:ilvl="8">
      <w:start w:val="1"/>
      <w:numFmt w:val="decimal"/>
      <w:lvlText w:val="."/>
      <w:lvlJc w:val="left"/>
      <w:pPr>
        <w:ind w:left="6480" w:hanging="720"/>
      </w:pPr>
    </w:lvl>
  </w:abstractNum>
  <w:abstractNum w:abstractNumId="1" w15:restartNumberingAfterBreak="0">
    <w:nsid w:val="06343350"/>
    <w:multiLevelType w:val="multilevel"/>
    <w:tmpl w:val="A15A6C5E"/>
    <w:styleLink w:val="LFO5"/>
    <w:lvl w:ilvl="0">
      <w:start w:val="1"/>
      <w:numFmt w:val="decimal"/>
      <w:pStyle w:val="T3"/>
      <w:lvlText w:val="%1."/>
      <w:lvlJc w:val="left"/>
      <w:pPr>
        <w:ind w:left="720" w:hanging="720"/>
      </w:pPr>
    </w:lvl>
    <w:lvl w:ilvl="1">
      <w:start w:val="1"/>
      <w:numFmt w:val="decimal"/>
      <w:lvlText w:val="."/>
      <w:lvlJc w:val="left"/>
      <w:pPr>
        <w:ind w:left="1440" w:hanging="720"/>
      </w:pPr>
    </w:lvl>
    <w:lvl w:ilvl="2">
      <w:start w:val="1"/>
      <w:numFmt w:val="decimal"/>
      <w:lvlText w:val="."/>
      <w:lvlJc w:val="left"/>
      <w:pPr>
        <w:ind w:left="2160" w:hanging="720"/>
      </w:pPr>
    </w:lvl>
    <w:lvl w:ilvl="3">
      <w:start w:val="1"/>
      <w:numFmt w:val="decimal"/>
      <w:lvlText w:val="."/>
      <w:lvlJc w:val="left"/>
      <w:pPr>
        <w:ind w:left="2880" w:hanging="720"/>
      </w:pPr>
    </w:lvl>
    <w:lvl w:ilvl="4">
      <w:start w:val="1"/>
      <w:numFmt w:val="decimal"/>
      <w:lvlText w:val="."/>
      <w:lvlJc w:val="left"/>
      <w:pPr>
        <w:ind w:left="3600" w:hanging="720"/>
      </w:pPr>
    </w:lvl>
    <w:lvl w:ilvl="5">
      <w:start w:val="1"/>
      <w:numFmt w:val="decimal"/>
      <w:lvlText w:val="."/>
      <w:lvlJc w:val="left"/>
      <w:pPr>
        <w:ind w:left="4320" w:hanging="720"/>
      </w:pPr>
    </w:lvl>
    <w:lvl w:ilvl="6">
      <w:start w:val="1"/>
      <w:numFmt w:val="decimal"/>
      <w:lvlText w:val="."/>
      <w:lvlJc w:val="left"/>
      <w:pPr>
        <w:ind w:left="5040" w:hanging="720"/>
      </w:pPr>
    </w:lvl>
    <w:lvl w:ilvl="7">
      <w:start w:val="1"/>
      <w:numFmt w:val="decimal"/>
      <w:lvlText w:val="."/>
      <w:lvlJc w:val="left"/>
      <w:pPr>
        <w:ind w:left="5760" w:hanging="720"/>
      </w:pPr>
    </w:lvl>
    <w:lvl w:ilvl="8">
      <w:start w:val="1"/>
      <w:numFmt w:val="decimal"/>
      <w:lvlText w:val="."/>
      <w:lvlJc w:val="left"/>
      <w:pPr>
        <w:ind w:left="6480" w:hanging="720"/>
      </w:pPr>
    </w:lvl>
  </w:abstractNum>
  <w:num w:numId="1" w16cid:durableId="1671713490">
    <w:abstractNumId w:val="1"/>
  </w:num>
  <w:num w:numId="2" w16cid:durableId="105124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updateFields w:val="true"/>
  <w:zoom w:percent="10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15918"/>
    <w:rsid w:val="00115918"/>
    <w:rsid w:val="004F6C16"/>
    <w:rsid w:val="00B5356E"/>
    <w:rsid w:val="00B7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E107A"/>
  <w15:docId w15:val="{0026E1BC-F93F-462A-B3DD-E4CE996B6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fr-CI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Garamond" w:hAnsi="Garamond" w:cs="Times New Roman"/>
      <w:sz w:val="24"/>
      <w:szCs w:val="24"/>
    </w:rPr>
  </w:style>
  <w:style w:type="paragraph" w:styleId="Titre1">
    <w:name w:val="heading 1"/>
    <w:uiPriority w:val="9"/>
    <w:qFormat/>
    <w:pPr>
      <w:suppressAutoHyphens/>
      <w:spacing w:after="0" w:line="240" w:lineRule="auto"/>
      <w:outlineLvl w:val="0"/>
    </w:pPr>
    <w:rPr>
      <w:rFonts w:ascii="Garamond" w:hAnsi="Garamond" w:cs="Times New Roman"/>
      <w:b/>
      <w:bCs/>
      <w:sz w:val="32"/>
      <w:szCs w:val="32"/>
      <w:color w:val="0E4C74"/>
    </w:rPr>
  </w:style>
  <w:style w:type="paragraph" w:styleId="Titre2">
    <w:name w:val="heading 2"/>
    <w:uiPriority w:val="9"/>
    <w:semiHidden/>
    <w:unhideWhenUsed/>
    <w:qFormat/>
    <w:pPr>
      <w:suppressAutoHyphens/>
      <w:spacing w:after="0" w:line="240" w:lineRule="auto"/>
      <w:outlineLvl w:val="1"/>
    </w:pPr>
    <w:rPr>
      <w:rFonts w:ascii="Garamond" w:hAnsi="Garamond" w:cs="Times New Roman"/>
      <w:b/>
      <w:bCs/>
      <w:sz w:val="28"/>
      <w:szCs w:val="28"/>
      <w:color w:val="0E4C74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Garamond" w:hAnsi="Garamond" w:cs="Times New Roman"/>
      <w:b/>
      <w:bCs/>
      <w:sz w:val="24"/>
      <w:szCs w:val="24"/>
      <w:color w:val="1A6FA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itre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itre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itre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rPr>
      <w:rFonts w:ascii="Times New Roman" w:eastAsia="Times New Roman" w:hAnsi="Times New Roman" w:cs="Times New Roman"/>
      <w:b/>
      <w:color w:val="008080"/>
      <w:sz w:val="32"/>
      <w:szCs w:val="32"/>
      <w:lang w:eastAsia="fr-CI"/>
    </w:rPr>
  </w:style>
  <w:style w:type="paragraph" w:customStyle="1" w:styleId="T3">
    <w:name w:val="T3"/>
    <w:basedOn w:val="Normal"/>
    <w:pPr>
      <w:numPr>
        <w:numId w:val="1"/>
      </w:numPr>
      <w:tabs>
        <w:tab w:val="left" w:pos="720"/>
      </w:tabs>
      <w:spacing w:after="0" w:line="360" w:lineRule="auto"/>
      <w:contextualSpacing/>
      <w:jc w:val="both"/>
    </w:pPr>
    <w:rPr>
      <w:rFonts w:ascii="Arial" w:eastAsia="Times New Roman" w:hAnsi="Arial"/>
      <w:b/>
      <w:color w:val="004A99"/>
      <w:spacing w:val="-10"/>
      <w:kern w:val="3"/>
      <w:sz w:val="24"/>
      <w:szCs w:val="56"/>
    </w:rPr>
  </w:style>
  <w:style w:type="character" w:customStyle="1" w:styleId="T3Car">
    <w:name w:val="T3 Car"/>
    <w:basedOn w:val="Policepardfaut"/>
    <w:rPr>
      <w:rFonts w:ascii="Arial" w:eastAsia="Times New Roman" w:hAnsi="Arial" w:cs="Times New Roman"/>
      <w:b/>
      <w:color w:val="004A99"/>
      <w:spacing w:val="-10"/>
      <w:kern w:val="3"/>
      <w:sz w:val="24"/>
      <w:szCs w:val="56"/>
    </w:rPr>
  </w:style>
  <w:style w:type="paragraph" w:customStyle="1" w:styleId="T2">
    <w:name w:val="T2"/>
    <w:basedOn w:val="Titre"/>
    <w:pPr>
      <w:tabs>
        <w:tab w:val="left" w:pos="720"/>
      </w:tabs>
      <w:spacing w:after="0" w:line="360" w:lineRule="auto"/>
      <w:ind w:left="1080" w:hanging="360"/>
      <w:jc w:val="both"/>
    </w:pPr>
    <w:rPr>
      <w:rFonts w:ascii="Arial" w:hAnsi="Arial"/>
      <w:color w:val="004A99"/>
      <w:sz w:val="28"/>
    </w:rPr>
  </w:style>
  <w:style w:type="character" w:customStyle="1" w:styleId="T2Car">
    <w:name w:val="T2 Car"/>
    <w:basedOn w:val="Policepardfaut"/>
    <w:rPr>
      <w:rFonts w:ascii="Arial" w:eastAsia="Times New Roman" w:hAnsi="Arial" w:cs="Times New Roman"/>
      <w:color w:val="004A99"/>
      <w:spacing w:val="-10"/>
      <w:kern w:val="3"/>
      <w:sz w:val="28"/>
      <w:szCs w:val="56"/>
    </w:rPr>
  </w:style>
  <w:style w:type="paragraph" w:styleId="Titr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Times New Roman" w:hAnsi="Calibri Light"/>
      <w:spacing w:val="-10"/>
      <w:kern w:val="3"/>
      <w:sz w:val="56"/>
      <w:szCs w:val="56"/>
    </w:rPr>
  </w:style>
  <w:style w:type="character" w:customStyle="1" w:styleId="TitreCar">
    <w:name w:val="Titre Car"/>
    <w:basedOn w:val="Policepardfau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customStyle="1" w:styleId="T1">
    <w:name w:val="T1"/>
    <w:basedOn w:val="Titre2"/>
    <w:pPr>
      <w:tabs>
        <w:tab w:val="left" w:pos="720"/>
      </w:tabs>
      <w:spacing w:line="360" w:lineRule="auto"/>
      <w:ind w:left="1080" w:hanging="360"/>
      <w:jc w:val="both"/>
    </w:pPr>
    <w:rPr>
      <w:rFonts w:ascii="Arial" w:hAnsi="Arial"/>
      <w:b/>
      <w:color w:val="004089"/>
    </w:rPr>
  </w:style>
  <w:style w:type="character" w:customStyle="1" w:styleId="T1Car">
    <w:name w:val="T1 Car"/>
    <w:basedOn w:val="Policepardfaut"/>
    <w:rPr>
      <w:rFonts w:ascii="Arial" w:eastAsia="Times New Roman" w:hAnsi="Arial" w:cs="Times New Roman"/>
      <w:b/>
      <w:color w:val="004089"/>
      <w:sz w:val="32"/>
      <w:szCs w:val="32"/>
    </w:rPr>
  </w:style>
  <w:style w:type="character" w:customStyle="1" w:styleId="Titre2Car">
    <w:name w:val="Titre 2 Car"/>
    <w:basedOn w:val="Policepardfaut"/>
    <w:rPr>
      <w:rFonts w:ascii="Times New Roman" w:eastAsia="Times New Roman" w:hAnsi="Times New Roman" w:cs="Times New Roman"/>
      <w:color w:val="008080"/>
      <w:sz w:val="26"/>
      <w:szCs w:val="26"/>
      <w:lang w:eastAsia="fr-CI"/>
    </w:rPr>
  </w:style>
  <w:style w:type="paragraph" w:customStyle="1" w:styleId="Corps">
    <w:name w:val="Corps"/>
    <w:basedOn w:val="T3"/>
    <w:rPr>
      <w:rFonts w:ascii="Cambria" w:hAnsi="Cambria"/>
      <w:b w:val="0"/>
    </w:rPr>
  </w:style>
  <w:style w:type="character" w:customStyle="1" w:styleId="CorpsCar">
    <w:name w:val="Corps Car"/>
    <w:basedOn w:val="T3Car"/>
    <w:rPr>
      <w:rFonts w:ascii="Cambria" w:eastAsia="Times New Roman" w:hAnsi="Cambria" w:cs="Times New Roman"/>
      <w:b w:val="0"/>
      <w:color w:val="004A99"/>
      <w:spacing w:val="-10"/>
      <w:kern w:val="3"/>
      <w:sz w:val="24"/>
      <w:szCs w:val="56"/>
    </w:rPr>
  </w:style>
  <w:style w:type="paragraph" w:customStyle="1" w:styleId="GP">
    <w:name w:val="GP"/>
    <w:basedOn w:val="Normal"/>
    <w:pPr>
      <w:spacing w:line="360" w:lineRule="auto"/>
      <w:jc w:val="both"/>
    </w:pPr>
    <w:rPr>
      <w:rFonts w:ascii="Arial" w:hAnsi="Arial"/>
      <w:b/>
      <w:color w:val="004089"/>
      <w:sz w:val="32"/>
    </w:rPr>
  </w:style>
  <w:style w:type="character" w:customStyle="1" w:styleId="GPCar">
    <w:name w:val="GP Car"/>
    <w:basedOn w:val="Policepardfaut"/>
    <w:rPr>
      <w:rFonts w:ascii="Arial" w:hAnsi="Arial"/>
      <w:b/>
      <w:color w:val="004089"/>
      <w:sz w:val="32"/>
    </w:rPr>
  </w:style>
  <w:style w:type="paragraph" w:customStyle="1" w:styleId="Style1">
    <w:name w:val="Style1"/>
    <w:basedOn w:val="Normal"/>
    <w:autoRedefine/>
    <w:pPr>
      <w:spacing w:line="360" w:lineRule="auto"/>
      <w:jc w:val="both"/>
    </w:pPr>
    <w:rPr>
      <w:rFonts w:ascii="Times New Roman" w:hAnsi="Times New Roman"/>
      <w:b/>
      <w:color w:val="1F3864"/>
      <w:sz w:val="24"/>
      <w:lang w:val="fr-FR"/>
    </w:rPr>
  </w:style>
  <w:style w:type="character" w:customStyle="1" w:styleId="Style1Car">
    <w:name w:val="Style1 Car"/>
    <w:basedOn w:val="Policepardfaut"/>
    <w:rPr>
      <w:rFonts w:ascii="Times New Roman" w:hAnsi="Times New Roman"/>
      <w:b/>
      <w:color w:val="1F3864"/>
      <w:sz w:val="24"/>
      <w:lang w:val="fr-FR"/>
    </w:rPr>
  </w:style>
  <w:style w:type="paragraph" w:customStyle="1" w:styleId="Style2">
    <w:name w:val="Style2"/>
    <w:basedOn w:val="Normal"/>
    <w:autoRedefine/>
    <w:pPr>
      <w:numPr>
        <w:numId w:val="2"/>
      </w:numPr>
      <w:spacing w:line="360" w:lineRule="auto"/>
      <w:jc w:val="both"/>
    </w:pPr>
    <w:rPr>
      <w:rFonts w:ascii="Times New Roman" w:eastAsia="Arial" w:hAnsi="Times New Roman"/>
      <w:b/>
      <w:color w:val="1F3864"/>
      <w:spacing w:val="-10"/>
      <w:kern w:val="3"/>
      <w:sz w:val="24"/>
      <w:szCs w:val="56"/>
    </w:rPr>
  </w:style>
  <w:style w:type="character" w:customStyle="1" w:styleId="Style2Car">
    <w:name w:val="Style2 Car"/>
    <w:basedOn w:val="Policepardfaut"/>
    <w:rPr>
      <w:rFonts w:ascii="Times New Roman" w:eastAsia="Arial" w:hAnsi="Times New Roman" w:cs="Times New Roman"/>
      <w:b/>
      <w:color w:val="1F3864"/>
      <w:spacing w:val="-10"/>
      <w:kern w:val="3"/>
      <w:sz w:val="24"/>
      <w:szCs w:val="56"/>
    </w:rPr>
  </w:style>
  <w:style w:type="character" w:customStyle="1" w:styleId="Titre3Car">
    <w:name w:val="Titre 3 Car"/>
    <w:basedOn w:val="Policepardfaut"/>
    <w:rPr>
      <w:rFonts w:eastAsia="Times New Roman" w:cs="Times New Roman"/>
      <w:color w:val="2F5496"/>
      <w:sz w:val="28"/>
      <w:szCs w:val="28"/>
    </w:rPr>
  </w:style>
  <w:style w:type="character" w:customStyle="1" w:styleId="Titre4Car">
    <w:name w:val="Titre 4 Car"/>
    <w:basedOn w:val="Policepardfaut"/>
    <w:rPr>
      <w:rFonts w:eastAsia="Times New Roman" w:cs="Times New Roman"/>
      <w:i/>
      <w:iCs/>
      <w:color w:val="2F5496"/>
    </w:rPr>
  </w:style>
  <w:style w:type="character" w:customStyle="1" w:styleId="Titre5Car">
    <w:name w:val="Titre 5 Car"/>
    <w:basedOn w:val="Policepardfaut"/>
    <w:rPr>
      <w:rFonts w:eastAsia="Times New Roman" w:cs="Times New Roman"/>
      <w:color w:val="2F5496"/>
    </w:rPr>
  </w:style>
  <w:style w:type="character" w:customStyle="1" w:styleId="Titre6Car">
    <w:name w:val="Titre 6 Car"/>
    <w:basedOn w:val="Policepardfaut"/>
    <w:rPr>
      <w:rFonts w:eastAsia="Times New Roman" w:cs="Times New Roman"/>
      <w:i/>
      <w:iCs/>
      <w:color w:val="595959"/>
    </w:rPr>
  </w:style>
  <w:style w:type="character" w:customStyle="1" w:styleId="Titre7Car">
    <w:name w:val="Titre 7 Car"/>
    <w:basedOn w:val="Policepardfaut"/>
    <w:rPr>
      <w:rFonts w:eastAsia="Times New Roman" w:cs="Times New Roman"/>
      <w:color w:val="595959"/>
    </w:rPr>
  </w:style>
  <w:style w:type="character" w:customStyle="1" w:styleId="Titre8Car">
    <w:name w:val="Titre 8 Car"/>
    <w:basedOn w:val="Policepardfaut"/>
    <w:rPr>
      <w:rFonts w:eastAsia="Times New Roman" w:cs="Times New Roman"/>
      <w:i/>
      <w:iCs/>
      <w:color w:val="272727"/>
    </w:rPr>
  </w:style>
  <w:style w:type="character" w:customStyle="1" w:styleId="Titre9Car">
    <w:name w:val="Titre 9 Car"/>
    <w:basedOn w:val="Policepardfaut"/>
    <w:rPr>
      <w:rFonts w:eastAsia="Times New Roman" w:cs="Times New Roman"/>
      <w:color w:val="272727"/>
    </w:rPr>
  </w:style>
  <w:style w:type="paragraph" w:styleId="Sous-titr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ous-titreCar">
    <w:name w:val="Sous-titre Car"/>
    <w:basedOn w:val="Policepardfaut"/>
    <w:rPr>
      <w:rFonts w:eastAsia="Times New Roman" w:cs="Times New Roman"/>
      <w:color w:val="595959"/>
      <w:spacing w:val="15"/>
      <w:sz w:val="28"/>
      <w:szCs w:val="28"/>
    </w:rPr>
  </w:style>
  <w:style w:type="paragraph" w:styleId="Citation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tionCar">
    <w:name w:val="Citation Car"/>
    <w:basedOn w:val="Policepardfaut"/>
    <w:rPr>
      <w:i/>
      <w:iCs/>
      <w:color w:val="404040"/>
    </w:rPr>
  </w:style>
  <w:style w:type="paragraph" w:styleId="Paragraphedeliste">
    <w:name w:val="List Paragraph"/>
    <w:basedOn w:val="Normal"/>
    <w:pPr>
      <w:ind w:left="720"/>
      <w:contextualSpacing/>
    </w:pPr>
  </w:style>
  <w:style w:type="character" w:styleId="Accentuationintense">
    <w:name w:val="Intense Emphasis"/>
    <w:basedOn w:val="Policepardfaut"/>
    <w:rPr>
      <w:i/>
      <w:iCs/>
      <w:color w:val="2F5496"/>
    </w:rPr>
  </w:style>
  <w:style w:type="paragraph" w:styleId="Citationintens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itationintenseCar">
    <w:name w:val="Citation intense Car"/>
    <w:basedOn w:val="Policepardfaut"/>
    <w:rPr>
      <w:i/>
      <w:iCs/>
      <w:color w:val="2F5496"/>
    </w:rPr>
  </w:style>
  <w:style w:type="character" w:styleId="Rfrenceintense">
    <w:name w:val="Intense Reference"/>
    <w:basedOn w:val="Policepardfaut"/>
    <w:rPr>
      <w:b/>
      <w:bCs/>
      <w:smallCaps/>
      <w:color w:val="2F5496"/>
      <w:spacing w:val="5"/>
    </w:rPr>
  </w:style>
  <w:style w:type="paragraph" w:styleId="En-tte">
    <w:name w:val="header"/>
    <w:basedOn w:val="Normal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</w:style>
  <w:style w:type="paragraph" w:styleId="Pieddepage">
    <w:name w:val="footer"/>
    <w:basedOn w:val="Normal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</w:style>
  <w:style w:type="character" w:styleId="Lienhypertexte">
    <w:name w:val="Hyperlink"/>
    <w:basedOn w:val="Policepardfaut"/>
    <w:rPr>
      <w:color w:val="0563C1"/>
      <w:u w:val="single"/>
    </w:rPr>
  </w:style>
  <w:style w:type="paragraph" w:styleId="TM3">
    <w:name w:val="toc 3"/>
    <w:basedOn w:val="Normal"/>
    <w:next w:val="Normal"/>
    <w:autoRedefine/>
    <w:pPr>
      <w:tabs>
        <w:tab w:val="left" w:pos="880"/>
        <w:tab w:val="right" w:leader="dot" w:pos="9062"/>
      </w:tabs>
      <w:spacing w:after="100" w:line="240" w:lineRule="auto"/>
      <w:ind w:left="440"/>
    </w:pPr>
    <w:rPr>
      <w:lang w:val="fr-FR"/>
    </w:rPr>
  </w:style>
  <w:style w:type="paragraph" w:styleId="TM2">
    <w:name w:val="toc 2"/>
    <w:basedOn w:val="Normal"/>
    <w:next w:val="Normal"/>
    <w:autoRedefine/>
    <w:pPr>
      <w:tabs>
        <w:tab w:val="left" w:pos="660"/>
        <w:tab w:val="right" w:leader="dot" w:pos="9062"/>
      </w:tabs>
      <w:spacing w:after="100"/>
      <w:ind w:left="220"/>
    </w:pPr>
    <w:rPr>
      <w:rFonts w:ascii="Times New Roman" w:hAnsi="Times New Roman"/>
      <w:b/>
      <w:bCs/>
      <w:lang w:val="fr-FR"/>
    </w:rPr>
  </w:style>
  <w:style w:type="paragraph" w:customStyle="1" w:styleId="En-ttedetabledesmatires1">
    <w:name w:val="En-tête de table des matières1"/>
    <w:basedOn w:val="Titre1"/>
    <w:next w:val="Normal"/>
    <w:pPr>
      <w:keepNext/>
      <w:keepLines/>
      <w:spacing w:before="240" w:line="256" w:lineRule="auto"/>
    </w:pPr>
    <w:rPr>
      <w:rFonts w:ascii="Calibri Light" w:hAnsi="Calibri Light"/>
      <w:b w:val="0"/>
      <w:color w:val="2F5496"/>
      <w:lang w:val="zh-CN" w:eastAsia="zh-CN"/>
    </w:rPr>
  </w:style>
  <w:style w:type="numbering" w:customStyle="1" w:styleId="LFO5">
    <w:name w:val="LFO5"/>
    <w:basedOn w:val="Aucuneliste"/>
    <w:pPr>
      <w:numPr>
        <w:numId w:val="1"/>
      </w:numPr>
    </w:pPr>
  </w:style>
  <w:style w:type="numbering" w:customStyle="1" w:styleId="LFO9">
    <w:name w:val="LFO9"/>
    <w:basedOn w:val="Aucuneliste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#_Toc216781640" TargetMode="External"/><Relationship Id="rId13" Type="http://schemas.openxmlformats.org/officeDocument/2006/relationships/hyperlink" Target="#_Toc216781646" TargetMode="External"/><Relationship Id="rId18" Type="http://schemas.openxmlformats.org/officeDocument/2006/relationships/hyperlink" Target="#_Toc216781651" TargetMode="External"/><Relationship Id="rId26" Type="http://schemas.openxmlformats.org/officeDocument/2006/relationships/hyperlink" Target="#_Toc216781660" TargetMode="External"/><Relationship Id="rId3" Type="http://schemas.openxmlformats.org/officeDocument/2006/relationships/settings" Target="settings.xml"/><Relationship Id="rId21" Type="http://schemas.openxmlformats.org/officeDocument/2006/relationships/hyperlink" Target="#_Toc216781654" TargetMode="External"/><Relationship Id="rId7" Type="http://schemas.openxmlformats.org/officeDocument/2006/relationships/image" Target="media/image1.png"/><Relationship Id="rId12" Type="http://schemas.openxmlformats.org/officeDocument/2006/relationships/hyperlink" Target="#_Toc216781644" TargetMode="External"/><Relationship Id="rId17" Type="http://schemas.openxmlformats.org/officeDocument/2006/relationships/hyperlink" Target="#_Toc216781650" TargetMode="External"/><Relationship Id="rId25" Type="http://schemas.openxmlformats.org/officeDocument/2006/relationships/hyperlink" Target="#_Toc216781659" TargetMode="External"/><Relationship Id="rId2" Type="http://schemas.openxmlformats.org/officeDocument/2006/relationships/styles" Target="styles.xml"/><Relationship Id="rId16" Type="http://schemas.openxmlformats.org/officeDocument/2006/relationships/hyperlink" Target="#_Toc216781649" TargetMode="External"/><Relationship Id="rId20" Type="http://schemas.openxmlformats.org/officeDocument/2006/relationships/hyperlink" Target="#_Toc216781653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#_Toc216781643" TargetMode="External"/><Relationship Id="rId24" Type="http://schemas.openxmlformats.org/officeDocument/2006/relationships/hyperlink" Target="#_Toc216781658" TargetMode="External"/><Relationship Id="rId5" Type="http://schemas.openxmlformats.org/officeDocument/2006/relationships/footnotes" Target="footnotes.xml"/><Relationship Id="rId15" Type="http://schemas.openxmlformats.org/officeDocument/2006/relationships/hyperlink" Target="#_Toc216781648" TargetMode="External"/><Relationship Id="rId23" Type="http://schemas.openxmlformats.org/officeDocument/2006/relationships/hyperlink" Target="#_Toc216781657" TargetMode="External"/><Relationship Id="rId28" Type="http://schemas.openxmlformats.org/officeDocument/2006/relationships/fontTable" Target="fontTable.xml"/><Relationship Id="rId10" Type="http://schemas.openxmlformats.org/officeDocument/2006/relationships/hyperlink" Target="#_Toc216781642" TargetMode="External"/><Relationship Id="rId19" Type="http://schemas.openxmlformats.org/officeDocument/2006/relationships/hyperlink" Target="#_Toc21678165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#_Toc216781641" TargetMode="External"/><Relationship Id="rId14" Type="http://schemas.openxmlformats.org/officeDocument/2006/relationships/hyperlink" Target="#_Toc216781647" TargetMode="External"/><Relationship Id="rId22" Type="http://schemas.openxmlformats.org/officeDocument/2006/relationships/hyperlink" Target="#_Toc216781655" TargetMode="External"/><Relationship Id="rId27" Type="http://schemas.openxmlformats.org/officeDocument/2006/relationships/footer" Target="footer1.xml"/><Relationship Id="rId100" Type="http://schemas.openxmlformats.org/officeDocument/2006/relationships/footer" Target="footer2.xml"/><Relationship Id="rId30" Type="http://schemas.openxmlformats.org/officeDocument/2006/relationships/image" Target="media/image2.png"/><Relationship Id="rId31" Type="http://schemas.openxmlformats.org/officeDocument/2006/relationships/image" Target="media/image3.png"/><Relationship Id="rId32" Type="http://schemas.openxmlformats.org/officeDocument/2006/relationships/image" Target="media/image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 Abdoul Aziz</dc:creator>
  <dc:description/>
  <cp:lastModifiedBy>NANA Abdoul Aziz</cp:lastModifiedBy>
  <cp:revision>2</cp:revision>
  <dcterms:created xsi:type="dcterms:W3CDTF">2026-07-04T11:54:00Z</dcterms:created>
  <dcterms:modified xsi:type="dcterms:W3CDTF">2026-07-04T11:54:00Z</dcterms:modified>
</cp:coreProperties>
</file>