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Blood Bank Functional Requirements</w:t>
      </w:r>
    </w:p>
    <w:p>
      <w:pPr>
        <w:spacing w:after="240"/>
      </w:pPr>
      <w:r>
        <w:t>Graduation Project 1 requirements for the blood bank platform. MoSCoW priorities distinguish the minimum safe donor-to-request workflow from supporting and convenience features.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79"/>
        <w:gridCol w:w="2333"/>
        <w:gridCol w:w="7243"/>
        <w:gridCol w:w="1368"/>
        <w:gridCol w:w="1166"/>
        <w:gridCol w:w="1742"/>
      </w:tblGrid>
      <w:tr>
        <w:trPr>
          <w:tblHeader w:val="true"/>
        </w:trPr>
        <w:tc>
          <w:tcPr>
            <w:tcW w:type="dxa" w:w="979"/>
            <w:vAlign w:val="center"/>
            <w:shd w:fill="233B56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333"/>
            <w:vAlign w:val="center"/>
            <w:shd w:fill="233B56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Title</w:t>
            </w:r>
          </w:p>
        </w:tc>
        <w:tc>
          <w:tcPr>
            <w:tcW w:type="dxa" w:w="7243"/>
            <w:vAlign w:val="center"/>
            <w:shd w:fill="233B56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1368"/>
            <w:vAlign w:val="center"/>
            <w:shd w:fill="233B56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type="dxa" w:w="1166"/>
            <w:vAlign w:val="center"/>
            <w:shd w:fill="233B56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Priority</w:t>
            </w:r>
          </w:p>
        </w:tc>
        <w:tc>
          <w:tcPr>
            <w:tcW w:type="dxa" w:w="1742"/>
            <w:vAlign w:val="center"/>
            <w:shd w:fill="233B56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Implemented in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FR-01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Register blood bank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Administrators register blood banks for organizational oversight and system access.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FR-02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Register hospital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Administrators register hospitals to enable specific patient linked component requests.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FR-03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Create staff account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Administrators create staff accounts with assigned roles and bank organizations.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FR-04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Update staff account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Administrators update existing staff account details, roles, and organization assignments.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Should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FR-05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Deactivate staff account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Administrators deactivate staff accounts while retaining their complete historical actions.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FR-06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Generate operational report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Bank administrators generate reports by selected type and reporting period.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Could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FR-07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Search donor profiles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Receptionists search existing donor profiles before new registration or updates.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Should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FR-08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Register donor profile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Receptionists register new donor profiles with identifying and contact information.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FR-09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Update donor profile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Receptionists update existing donor profiles to maintain accurate personal records.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Should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FR-10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Register donation attempt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Screeners register new donation attempts for existing donors before collection.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FR-11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Record eligibility decision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Screeners review assessments and record eligible, deferred, or rejected decisions.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FR-12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Start blood collection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Collection staff record blood collection start for eligible donation attempts.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Should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FR-13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Complete blood collection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Collection staff record successful collection completion time and collected volume.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FR-14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Record prepared components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Technicians record each prepared component container and its individual volume.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FR-15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Finalize laboratory screening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Authorized technicians record screening results and approve or reject donations.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FR-16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Submit component request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Hospital staff submit patient linked requests for specific blood components.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FR-17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View request match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Hospitals view nearest bank fulfilling complete exact-match quantity, otherwise no-match.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FR-18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Accept hospital request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Inventory staff accept pending hospital requests for available approved components.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FR-19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Generate demand forecast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Bank administrators forecast demand by component and ABO/Rh blood group.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Should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FR-20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View saved forecast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Bank administrators retrieve and view previously generated component demand forecasts.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Could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FR-21</w:t>
            </w:r>
          </w:p>
        </w:tc>
        <w:tc>
          <w:tcPr>
            <w:tcW w:type="dxa" w:w="233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Receive expiry notification</w:t>
            </w:r>
          </w:p>
        </w:tc>
        <w:tc>
          <w:tcPr>
            <w:tcW w:type="dxa" w:w="7243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Inventory staff receive disposal notifications identifying specific expired bank components.</w:t>
            </w:r>
          </w:p>
        </w:tc>
        <w:tc>
          <w:tcPr>
            <w:tcW w:type="dxa" w:w="1368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Should</w:t>
            </w:r>
          </w:p>
        </w:tc>
        <w:tc>
          <w:tcPr>
            <w:tcW w:type="dxa" w:w="1742"/>
            <w:vAlign w:val="center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  <w:tr>
        <w:trPr>
          <w:cantSplit/>
        </w:trPr>
        <w:tc>
          <w:tcPr>
            <w:tcW w:type="dxa" w:w="979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FR-22</w:t>
            </w:r>
          </w:p>
        </w:tc>
        <w:tc>
          <w:tcPr>
            <w:tcW w:type="dxa" w:w="233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Record component disposal</w:t>
            </w:r>
          </w:p>
        </w:tc>
        <w:tc>
          <w:tcPr>
            <w:tcW w:type="dxa" w:w="7243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000000"/>
                <w:sz w:val="17"/>
              </w:rPr>
              <w:t>Inventory staff record physical disposal, responsible person, and disposal time.</w:t>
            </w:r>
          </w:p>
        </w:tc>
        <w:tc>
          <w:tcPr>
            <w:tcW w:type="dxa" w:w="1368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Functional</w:t>
            </w:r>
          </w:p>
        </w:tc>
        <w:tc>
          <w:tcPr>
            <w:tcW w:type="dxa" w:w="1166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Must</w:t>
            </w:r>
          </w:p>
        </w:tc>
        <w:tc>
          <w:tcPr>
            <w:tcW w:type="dxa" w:w="1742"/>
            <w:vAlign w:val="center"/>
            <w:shd w:fill="F2F6FA"/>
            <w:tcMar>
              <w:top w:w="85" w:type="dxa"/>
              <w:left w:w="80" w:type="dxa"/>
              <w:bottom w:w="85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000000"/>
                <w:sz w:val="17"/>
              </w:rPr>
              <w:t>Graduation 1</w:t>
            </w:r>
          </w:p>
        </w:tc>
      </w:tr>
    </w:tbl>
    <w:sectPr w:rsidR="00FC693F" w:rsidRPr="0006063C" w:rsidSect="00034616">
      <w:pgSz w:w="16834" w:h="11909" w:orient="landscape"/>
      <w:pgMar w:top="936" w:right="979" w:bottom="864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